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Lines w:val="0"/>
        <w:kinsoku/>
        <w:wordWrap/>
        <w:overflowPunct/>
        <w:topLinePunct w:val="0"/>
        <w:bidi w:val="0"/>
        <w:adjustRightInd/>
        <w:snapToGrid/>
        <w:spacing w:line="312" w:lineRule="auto"/>
        <w:rPr>
          <w:rFonts w:hint="eastAsia" w:hAnsi="黑体" w:cs="黑体"/>
        </w:rPr>
      </w:pPr>
      <w:bookmarkStart w:id="0" w:name="StandardName"/>
      <w:r>
        <w:rPr>
          <w:rFonts w:hint="eastAsia" w:hAnsi="黑体" w:cs="黑体"/>
        </w:rPr>
        <w:t>ICS 03.080</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9854" w:type="dxa"/>
            <w:tcBorders>
              <w:top w:val="nil"/>
              <w:left w:val="nil"/>
              <w:bottom w:val="nil"/>
              <w:right w:val="nil"/>
            </w:tcBorders>
            <w:noWrap w:val="0"/>
            <w:vAlign w:val="top"/>
          </w:tcPr>
          <w:p>
            <w:pPr>
              <w:pStyle w:val="11"/>
              <w:keepLines w:val="0"/>
              <w:kinsoku/>
              <w:wordWrap/>
              <w:overflowPunct/>
              <w:topLinePunct w:val="0"/>
              <w:bidi w:val="0"/>
              <w:adjustRightInd/>
              <w:snapToGrid/>
              <w:spacing w:line="312" w:lineRule="auto"/>
            </w:pPr>
            <w:r>
              <w:rPr>
                <w:rFonts w:hint="eastAsia"/>
              </w:rPr>
              <w:t xml:space="preserve">CCS </w:t>
            </w:r>
            <w:r>
              <mc:AlternateContent>
                <mc:Choice Requires="wps">
                  <w:drawing>
                    <wp:anchor distT="0" distB="0" distL="114300" distR="114300" simplePos="0" relativeHeight="251663360" behindDoc="1" locked="0" layoutInCell="1" allowOverlap="1">
                      <wp:simplePos x="0" y="0"/>
                      <wp:positionH relativeFrom="column">
                        <wp:posOffset>85725</wp:posOffset>
                      </wp:positionH>
                      <wp:positionV relativeFrom="paragraph">
                        <wp:posOffset>152400</wp:posOffset>
                      </wp:positionV>
                      <wp:extent cx="866775" cy="198120"/>
                      <wp:effectExtent l="0" t="0" r="1905" b="0"/>
                      <wp:wrapNone/>
                      <wp:docPr id="7" name="矩形 7"/>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pPr>
                                    <w:rPr>
                                      <w14:textFill>
                                        <w14:noFill/>
                                      </w14:textFill>
                                    </w:rPr>
                                  </w:pPr>
                                </w:p>
                              </w:txbxContent>
                            </wps:txbx>
                            <wps:bodyPr upright="1"/>
                          </wps:wsp>
                        </a:graphicData>
                      </a:graphic>
                    </wp:anchor>
                  </w:drawing>
                </mc:Choice>
                <mc:Fallback>
                  <w:pict>
                    <v:rect id="_x0000_s1026" o:spid="_x0000_s1026" o:spt="1" style="position:absolute;left:0pt;margin-left:6.75pt;margin-top:12pt;height:15.6pt;width:68.25pt;z-index:-251653120;mso-width-relative:page;mso-height-relative:page;" fillcolor="#FFFFFF" filled="t" stroked="f" coordsize="21600,21600" o:gfxdata="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AiS01zVAAAACAEAAA8AAAAAAAAAAQAgAAAAIgAAAGRycy9kb3ducmV2LnhtbFBLAQIUABQAAAAI&#10;AIdO4kA5844otwEAAGkDAAAOAAAAAAAAAAEAIAAAACQBAABkcnMvZTJvRG9jLnhtbFBLBQYAAAAA&#10;BgAGAFkBAABNBQAAAAA=&#10;">
                      <v:fill on="t" focussize="0,0"/>
                      <v:stroke on="f"/>
                      <v:imagedata o:title=""/>
                      <o:lock v:ext="edit" aspectratio="f"/>
                      <v:textbox>
                        <w:txbxContent>
                          <w:p>
                            <w:pPr>
                              <w:rPr>
                                <w14:textFill>
                                  <w14:noFill/>
                                </w14:textFill>
                              </w:rPr>
                            </w:pPr>
                          </w:p>
                        </w:txbxContent>
                      </v:textbox>
                    </v:rect>
                  </w:pict>
                </mc:Fallback>
              </mc:AlternateContent>
            </w:r>
            <w:r>
              <w:rPr>
                <w:rFonts w:hint="eastAsia"/>
              </w:rPr>
              <w:t>A 16</w:t>
            </w: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2" name="矩形 2"/>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iuL+zVAAAABwEAAA8AAAAAAAAAAQAgAAAAIgAAAGRycy9kb3ducmV2LnhtbFBLAQIUABQAAAAI&#10;AIdO4kDP6bJptwEAAGkDAAAOAAAAAAAAAAEAIAAAACQBAABkcnMvZTJvRG9jLnhtbFBLBQYAAAAA&#10;BgAGAFkBAABNBQAAAAA=&#10;">
                      <v:fill on="t" focussize="0,0"/>
                      <v:stroke on="f"/>
                      <v:imagedata o:title=""/>
                      <o:lock v:ext="edit" aspectratio="f"/>
                      <v:textbox>
                        <w:txbxContent>
                          <w:p/>
                        </w:txbxContent>
                      </v:textbox>
                    </v:rect>
                  </w:pict>
                </mc:Fallback>
              </mc:AlternateContent>
            </w:r>
          </w:p>
        </w:tc>
      </w:tr>
    </w:tbl>
    <w:p>
      <w:pPr>
        <w:pStyle w:val="12"/>
        <w:keepLines w:val="0"/>
        <w:kinsoku/>
        <w:wordWrap/>
        <w:overflowPunct/>
        <w:topLinePunct w:val="0"/>
        <w:bidi w:val="0"/>
        <w:adjustRightInd/>
        <w:snapToGrid/>
        <w:spacing w:line="312" w:lineRule="auto"/>
      </w:pPr>
      <w:r>
        <w:t>DB</w:t>
      </w:r>
      <w:r>
        <w:rPr>
          <w:rFonts w:hint="eastAsia"/>
        </w:rPr>
        <w:t>21</w:t>
      </w:r>
    </w:p>
    <w:p>
      <w:pPr>
        <w:pStyle w:val="14"/>
        <w:keepLines w:val="0"/>
        <w:kinsoku/>
        <w:wordWrap/>
        <w:overflowPunct/>
        <w:topLinePunct w:val="0"/>
        <w:bidi w:val="0"/>
        <w:adjustRightInd/>
        <w:snapToGrid/>
        <w:spacing w:line="312" w:lineRule="auto"/>
      </w:pPr>
      <w:r>
        <w:rPr>
          <w:rFonts w:hint="eastAsia"/>
        </w:rPr>
        <w:t>辽宁省地方标准</w:t>
      </w:r>
    </w:p>
    <w:p>
      <w:pPr>
        <w:pStyle w:val="15"/>
        <w:keepLines w:val="0"/>
        <w:kinsoku/>
        <w:wordWrap/>
        <w:overflowPunct/>
        <w:topLinePunct w:val="0"/>
        <w:bidi w:val="0"/>
        <w:adjustRightInd/>
        <w:snapToGrid/>
        <w:spacing w:line="312" w:lineRule="auto"/>
        <w:rPr>
          <w:rFonts w:hint="eastAsia" w:hAnsi="黑体" w:cs="黑体"/>
        </w:rPr>
      </w:pPr>
      <w:r>
        <w:rPr>
          <w:rFonts w:hint="eastAsia" w:hAnsi="黑体" w:cs="黑体"/>
        </w:rPr>
        <w:t>DB21/T XXXX—XXXX</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noWrap w:val="0"/>
            <w:vAlign w:val="top"/>
          </w:tcPr>
          <w:p>
            <w:pPr>
              <w:pStyle w:val="16"/>
              <w:keepLines w:val="0"/>
              <w:kinsoku/>
              <w:wordWrap/>
              <w:overflowPunct/>
              <w:topLinePunct w:val="0"/>
              <w:bidi w:val="0"/>
              <w:adjustRightInd/>
              <w:snapToGrid/>
              <w:spacing w:line="312" w:lineRule="auto"/>
            </w:pPr>
          </w:p>
        </w:tc>
      </w:tr>
    </w:tbl>
    <w:p>
      <w:pPr>
        <w:pStyle w:val="15"/>
        <w:keepLines w:val="0"/>
        <w:kinsoku/>
        <w:wordWrap/>
        <w:overflowPunct/>
        <w:topLinePunct w:val="0"/>
        <w:bidi w:val="0"/>
        <w:adjustRightInd/>
        <w:snapToGrid/>
        <w:spacing w:line="312" w:lineRule="auto"/>
      </w:pPr>
    </w:p>
    <w:p>
      <w:pPr>
        <w:pStyle w:val="15"/>
        <w:keepLines w:val="0"/>
        <w:kinsoku/>
        <w:wordWrap/>
        <w:overflowPunct/>
        <w:topLinePunct w:val="0"/>
        <w:bidi w:val="0"/>
        <w:adjustRightInd/>
        <w:snapToGrid/>
        <w:spacing w:line="312" w:lineRule="auto"/>
      </w:pPr>
    </w:p>
    <w:p>
      <w:pPr>
        <w:pStyle w:val="17"/>
        <w:keepLines w:val="0"/>
        <w:framePr w:x="1390" w:y="6437"/>
        <w:kinsoku/>
        <w:wordWrap/>
        <w:overflowPunct/>
        <w:topLinePunct w:val="0"/>
        <w:bidi w:val="0"/>
        <w:adjustRightInd/>
        <w:snapToGrid/>
        <w:spacing w:line="312" w:lineRule="auto"/>
        <w:rPr>
          <w:rFonts w:hint="eastAsia"/>
          <w:szCs w:val="22"/>
        </w:rPr>
      </w:pPr>
      <w:r>
        <w:rPr>
          <w:rFonts w:hint="eastAsia"/>
          <w:szCs w:val="22"/>
        </w:rPr>
        <w:t>ETC</w:t>
      </w:r>
      <w:r>
        <w:rPr>
          <w:rFonts w:hint="eastAsia"/>
          <w:szCs w:val="22"/>
          <w:lang w:val="en-US" w:eastAsia="zh-CN"/>
        </w:rPr>
        <w:t>智慧</w:t>
      </w:r>
      <w:r>
        <w:rPr>
          <w:rFonts w:hint="eastAsia"/>
          <w:szCs w:val="22"/>
        </w:rPr>
        <w:t>停车场</w:t>
      </w:r>
      <w:r>
        <w:rPr>
          <w:rFonts w:hint="eastAsia"/>
          <w:szCs w:val="22"/>
          <w:lang w:val="en-US" w:eastAsia="zh-CN"/>
        </w:rPr>
        <w:t xml:space="preserve"> </w:t>
      </w:r>
      <w:r>
        <w:rPr>
          <w:rFonts w:hint="eastAsia"/>
          <w:szCs w:val="22"/>
        </w:rPr>
        <w:t>总则</w:t>
      </w:r>
    </w:p>
    <w:p>
      <w:pPr>
        <w:pStyle w:val="18"/>
        <w:keepLines w:val="0"/>
        <w:framePr w:x="1390" w:y="6437"/>
        <w:kinsoku/>
        <w:wordWrap/>
        <w:overflowPunct/>
        <w:topLinePunct w:val="0"/>
        <w:bidi w:val="0"/>
        <w:adjustRightInd/>
        <w:snapToGrid/>
        <w:spacing w:line="312" w:lineRule="auto"/>
      </w:pPr>
    </w:p>
    <w:p>
      <w:pPr>
        <w:pStyle w:val="19"/>
        <w:keepLines w:val="0"/>
        <w:framePr w:x="1390" w:y="6437"/>
        <w:kinsoku/>
        <w:wordWrap/>
        <w:overflowPunct/>
        <w:topLinePunct w:val="0"/>
        <w:bidi w:val="0"/>
        <w:adjustRightInd/>
        <w:snapToGrid/>
        <w:spacing w:line="312" w:lineRule="auto"/>
      </w:pPr>
      <w:r>
        <w:rPr>
          <w:rFonts w:hint="eastAsia" w:hAnsi="黑体" w:cs="黑体"/>
          <w:w w:val="100"/>
        </w:rPr>
        <mc:AlternateContent>
          <mc:Choice Requires="wps">
            <w:drawing>
              <wp:anchor distT="0" distB="0" distL="114300" distR="114300" simplePos="0" relativeHeight="251660288" behindDoc="1" locked="0" layoutInCell="1" allowOverlap="1">
                <wp:simplePos x="0" y="0"/>
                <wp:positionH relativeFrom="page">
                  <wp:posOffset>3397250</wp:posOffset>
                </wp:positionH>
                <wp:positionV relativeFrom="page">
                  <wp:posOffset>5655310</wp:posOffset>
                </wp:positionV>
                <wp:extent cx="1270000" cy="304800"/>
                <wp:effectExtent l="0" t="0" r="10160" b="0"/>
                <wp:wrapNone/>
                <wp:docPr id="8" name="矩形 8"/>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267.5pt;margin-top:445.3pt;height:24pt;width:100pt;mso-position-horizontal-relative:page;mso-position-vertical-relative:page;z-index:-251656192;mso-width-relative:page;mso-height-relative:page;" fillcolor="#FFFFFF" filled="t" stroked="f" coordsize="21600,21600" o:gfxdata="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ggoYPYAAAACwEAAA8AAAAAAAAAAQAgAAAAIgAAAGRycy9kb3ducmV2LnhtbFBLAQIUABQAAAAI&#10;AIdO4kDvVaV1tAEAAGoDAAAOAAAAAAAAAAEAIAAAACcBAABkcnMvZTJvRG9jLnhtbFBLBQYAAAAA&#10;BgAGAFkBAABNBQAAAAA=&#10;">
                <v:fill on="t" focussize="0,0"/>
                <v:stroke on="f"/>
                <v:imagedata o:title=""/>
                <o:lock v:ext="edit" aspectratio="f"/>
                <v:textbox>
                  <w:txbxContent>
                    <w:p/>
                  </w:txbxContent>
                </v:textbox>
              </v:rect>
            </w:pict>
          </mc:Fallback>
        </mc:AlternateContent>
      </w:r>
      <w:r>
        <w:rPr>
          <w:rFonts w:hint="eastAsia"/>
        </w:rPr>
        <w:t>（</w:t>
      </w:r>
      <w:r>
        <w:rPr>
          <w:rFonts w:hint="eastAsia"/>
          <w:lang w:val="en-US" w:eastAsia="zh-CN"/>
        </w:rPr>
        <w:t>征求意见稿</w:t>
      </w:r>
      <w:r>
        <w:rPr>
          <w:rFonts w:hint="eastAsia"/>
        </w:rPr>
        <w:t>）</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20"/>
              <w:keepLines w:val="0"/>
              <w:framePr w:x="1390" w:y="6437"/>
              <w:kinsoku/>
              <w:wordWrap/>
              <w:overflowPunct/>
              <w:topLinePunct w:val="0"/>
              <w:bidi w:val="0"/>
              <w:adjustRightInd/>
              <w:snapToGrid/>
              <w:spacing w:line="312" w:lineRule="auto"/>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5080"/>
                      <wp:wrapNone/>
                      <wp:docPr id="9" name="矩形 9"/>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f&#10;1/fg1wAAAAsBAAAPAAAAAAAAAAEAIAAAACIAAABkcnMvZG93bnJldi54bWxQSwECFAAUAAAACACH&#10;TuJAgETJ2bMBAABqAwAADgAAAAAAAAABACAAAAAmAQAAZHJzL2Uyb0RvYy54bWxQSwUGAAAAAAYA&#10;BgBZAQAASwUAAAAA&#10;">
                      <v:fill on="t" focussize="0,0"/>
                      <v:stroke on="f"/>
                      <v:imagedata o:title=""/>
                      <o:lock v:ext="edit" aspectratio="f"/>
                      <v:textbox>
                        <w:txbxContent>
                          <w:p/>
                        </w:txbxContent>
                      </v:textbox>
                      <w10:anchorlock/>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21"/>
              <w:keepLines w:val="0"/>
              <w:framePr w:x="1390" w:y="6437"/>
              <w:kinsoku/>
              <w:wordWrap/>
              <w:overflowPunct/>
              <w:topLinePunct w:val="0"/>
              <w:bidi w:val="0"/>
              <w:adjustRightInd/>
              <w:snapToGrid/>
              <w:spacing w:line="312" w:lineRule="auto"/>
            </w:pPr>
          </w:p>
        </w:tc>
      </w:tr>
    </w:tbl>
    <w:p>
      <w:pPr>
        <w:pStyle w:val="22"/>
        <w:keepLines w:val="0"/>
        <w:framePr w:vAnchor="page" w:hAnchor="page" w:x="1549" w:y="14053"/>
        <w:kinsoku/>
        <w:wordWrap/>
        <w:overflowPunct/>
        <w:topLinePunct w:val="0"/>
        <w:bidi w:val="0"/>
        <w:adjustRightInd/>
        <w:snapToGrid/>
        <w:spacing w:line="312" w:lineRule="auto"/>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r>
        <mc:AlternateContent>
          <mc:Choice Requires="wps">
            <w:drawing>
              <wp:anchor distT="0" distB="0" distL="114300" distR="114300" simplePos="0" relativeHeight="251664384" behindDoc="0" locked="1" layoutInCell="1" allowOverlap="1">
                <wp:simplePos x="0" y="0"/>
                <wp:positionH relativeFrom="column">
                  <wp:posOffset>3810</wp:posOffset>
                </wp:positionH>
                <wp:positionV relativeFrom="page">
                  <wp:posOffset>-3421380</wp:posOffset>
                </wp:positionV>
                <wp:extent cx="612013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3pt;margin-top:-269.4pt;height:0pt;width:481.9pt;mso-position-vertical-relative:page;z-index:251664384;mso-width-relative:page;mso-height-relative:page;" filled="f" stroked="t" coordsize="21600,21600" o:gfxdata="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c1J4dYAAAAKAQAADwAAAAAAAAABACAAAAAiAAAAZHJzL2Rvd25yZXYueG1sUEsBAhQA&#10;FAAAAAgAh07iQGospkz0AQAA5gMAAA4AAAAAAAAAAQAgAAAAJQEAAGRycy9lMm9Eb2MueG1sUEsF&#10;BgAAAAAGAAYAWQEAAIsFAAAAAA==&#10;">
                <v:fill on="f" focussize="0,0"/>
                <v:stroke color="#000000" joinstyle="round"/>
                <v:imagedata o:title=""/>
                <o:lock v:ext="edit" aspectratio="f"/>
                <w10:anchorlock/>
              </v:line>
            </w:pict>
          </mc:Fallback>
        </mc:AlternateContent>
      </w:r>
    </w:p>
    <w:p>
      <w:pPr>
        <w:pStyle w:val="24"/>
        <w:keepLines w:val="0"/>
        <w:framePr w:vAnchor="page" w:hAnchor="page" w:x="7006" w:y="13981"/>
        <w:kinsoku/>
        <w:wordWrap/>
        <w:overflowPunct/>
        <w:topLinePunct w:val="0"/>
        <w:bidi w:val="0"/>
        <w:adjustRightInd/>
        <w:snapToGrid/>
        <w:spacing w:line="312" w:lineRule="auto"/>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实施</w:t>
      </w:r>
    </w:p>
    <w:p>
      <w:pPr>
        <w:pStyle w:val="26"/>
        <w:keepLines w:val="0"/>
        <w:kinsoku/>
        <w:wordWrap/>
        <w:overflowPunct/>
        <w:topLinePunct w:val="0"/>
        <w:bidi w:val="0"/>
        <w:adjustRightInd/>
        <w:snapToGrid/>
        <w:spacing w:line="312" w:lineRule="auto"/>
        <w:rPr>
          <w:rFonts w:hAnsi="黑体" w:cs="黑体"/>
        </w:rPr>
      </w:pPr>
      <w:bookmarkStart w:id="1" w:name="fm"/>
      <w:r>
        <w:rPr>
          <w:rFonts w:hint="eastAsia" w:hAnsi="黑体" w:cs="黑体"/>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38mKEdoAAAAPAQAADwAAAAAAAAABACAAAAAiAAAAZHJzL2Rvd25yZXYueG1sUEsBAhQAFAAA&#10;AAgAh07iQJe7xUa0AQAAagMAAA4AAAAAAAAAAQAgAAAAKQEAAGRycy9lMm9Eb2MueG1sUEsFBgAA&#10;AAAGAAYAWQEAAE8FAAAAAA==&#10;">
                <v:fill on="t" focussize="0,0"/>
                <v:stroke on="f"/>
                <v:imagedata o:title=""/>
                <o:lock v:ext="edit" aspectratio="f"/>
                <v:textbox>
                  <w:txbxContent>
                    <w:p/>
                  </w:txbxContent>
                </v:textbox>
              </v:rect>
            </w:pict>
          </mc:Fallback>
        </mc:AlternateContent>
      </w:r>
      <w:bookmarkEnd w:id="1"/>
      <w:r>
        <w:rPr>
          <w:rFonts w:hint="eastAsia" w:hAnsi="黑体" w:cs="黑体"/>
          <w:w w:val="100"/>
        </w:rPr>
        <w:t>辽宁省</w:t>
      </w:r>
      <w:r>
        <w:rPr>
          <w:rFonts w:hint="eastAsia" w:hAnsi="黑体" w:cs="黑体"/>
          <w:w w:val="100"/>
          <w:szCs w:val="22"/>
        </w:rPr>
        <w:t>市场监督管理局</w:t>
      </w:r>
      <w:r>
        <w:rPr>
          <w:rFonts w:hint="eastAsia" w:hAnsi="黑体" w:cs="黑体"/>
          <w:w w:val="100"/>
          <w:szCs w:val="22"/>
          <w:lang w:eastAsia="zh-CN"/>
        </w:rPr>
        <w:t>　</w:t>
      </w:r>
      <w:r>
        <w:rPr>
          <w:rFonts w:hint="eastAsia" w:hAnsi="黑体" w:cs="黑体"/>
          <w:w w:val="100"/>
          <w:szCs w:val="22"/>
        </w:rPr>
        <w:t xml:space="preserve"> 发 布</w:t>
      </w:r>
    </w:p>
    <w:p>
      <w:pPr>
        <w:pStyle w:val="28"/>
        <w:keepLines w:val="0"/>
        <w:kinsoku/>
        <w:wordWrap/>
        <w:overflowPunct/>
        <w:topLinePunct w:val="0"/>
        <w:bidi w:val="0"/>
        <w:adjustRightInd/>
        <w:snapToGrid/>
        <w:spacing w:line="312" w:lineRule="auto"/>
        <w:sectPr>
          <w:headerReference r:id="rId3" w:type="even"/>
          <w:footerReference r:id="rId4" w:type="even"/>
          <w:pgSz w:w="11906" w:h="16838"/>
          <w:pgMar w:top="567" w:right="1134" w:bottom="1134" w:left="1417" w:header="0" w:footer="0" w:gutter="0"/>
          <w:pgNumType w:fmt="upperRoman" w:start="1"/>
          <w:cols w:space="720" w:num="1"/>
          <w:docGrid w:type="lines" w:linePitch="312" w:charSpace="0"/>
        </w:sectPr>
      </w:pPr>
      <w:r>
        <w:rPr>
          <w:rFonts w:hint="eastAsia" w:ascii="黑体" w:hAnsi="黑体" w:eastAsia="黑体" w:cs="黑体"/>
        </w:rPr>
        <mc:AlternateContent>
          <mc:Choice Requires="wps">
            <w:drawing>
              <wp:anchor distT="0" distB="0" distL="114300" distR="114300" simplePos="0" relativeHeight="251665408" behindDoc="0" locked="0" layoutInCell="1" allowOverlap="1">
                <wp:simplePos x="0" y="0"/>
                <wp:positionH relativeFrom="column">
                  <wp:posOffset>-635</wp:posOffset>
                </wp:positionH>
                <wp:positionV relativeFrom="paragraph">
                  <wp:posOffset>2333625</wp:posOffset>
                </wp:positionV>
                <wp:extent cx="6062345" cy="6350"/>
                <wp:effectExtent l="0" t="4445" r="3175" b="12065"/>
                <wp:wrapNone/>
                <wp:docPr id="11" name="直接连接符 11"/>
                <wp:cNvGraphicFramePr/>
                <a:graphic xmlns:a="http://schemas.openxmlformats.org/drawingml/2006/main">
                  <a:graphicData uri="http://schemas.microsoft.com/office/word/2010/wordprocessingShape">
                    <wps:wsp>
                      <wps:cNvCnPr/>
                      <wps:spPr>
                        <a:xfrm flipV="1">
                          <a:off x="0" y="0"/>
                          <a:ext cx="6062345" cy="6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05pt;margin-top:183.75pt;height:0.5pt;width:477.35pt;z-index:251665408;mso-width-relative:page;mso-height-relative:page;" filled="f" stroked="t" coordsize="21600,21600" o:gfxdata="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6I2+V2AAAAAkBAAAPAAAAAAAAAAEAIAAAACIAAABkcnMvZG93&#10;bnJldi54bWxQSwECFAAUAAAACACHTuJAKIAFsgACAADzAwAADgAAAAAAAAABACAAAAAnAQAAZHJz&#10;L2Uyb0RvYy54bWxQSwUGAAAAAAYABgBZAQAAmQUAAAAA&#10;">
                <v:fill on="f" focussize="0,0"/>
                <v:stroke color="#000000" joinstyle="round"/>
                <v:imagedata o:title=""/>
                <o:lock v:ext="edit" aspectratio="f"/>
              </v:line>
            </w:pict>
          </mc:Fallback>
        </mc:AlternateContent>
      </w:r>
      <w:r>
        <w:rPr>
          <w:rFonts w:hint="eastAsia" w:ascii="黑体" w:hAnsi="黑体" w:eastAsia="黑体" w:cs="黑体"/>
        </w:rPr>
        <mc:AlternateContent>
          <mc:Choice Requires="wps">
            <w:drawing>
              <wp:anchor distT="0" distB="0" distL="114300" distR="114300" simplePos="0" relativeHeight="251666432" behindDoc="0" locked="0" layoutInCell="1" allowOverlap="1">
                <wp:simplePos x="0" y="0"/>
                <wp:positionH relativeFrom="column">
                  <wp:posOffset>34925</wp:posOffset>
                </wp:positionH>
                <wp:positionV relativeFrom="paragraph">
                  <wp:posOffset>8851900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5pt;margin-top:697pt;height:0pt;width:481.9pt;z-index:251666432;mso-width-relative:page;mso-height-relative:page;" filled="f" stroked="t" coordsize="21600,21600" o:gfxdata="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mbKldYAAAALAQAADwAAAAAAAAABACAAAAAiAAAAZHJzL2Rvd25yZXYueG1sUEsBAhQA&#10;FAAAAAgAh07iQI50ZUH0AQAA5AMAAA4AAAAAAAAAAQAgAAAAJQEAAGRycy9lMm9Eb2MueG1sUEsF&#10;BgAAAAAGAAYAWQEAAIsFAAAAAA==&#10;">
                <v:fill on="f" focussize="0,0"/>
                <v:stroke color="#000000" joinstyle="round"/>
                <v:imagedata o:title=""/>
                <o:lock v:ext="edit" aspectratio="f"/>
              </v:line>
            </w:pict>
          </mc:Fallback>
        </mc:AlternateContent>
      </w:r>
    </w:p>
    <w:p>
      <w:pPr>
        <w:keepLines w:val="0"/>
        <w:kinsoku/>
        <w:wordWrap/>
        <w:overflowPunct/>
        <w:topLinePunct w:val="0"/>
        <w:bidi w:val="0"/>
        <w:adjustRightInd/>
        <w:snapToGrid/>
        <w:spacing w:line="312" w:lineRule="auto"/>
        <w:jc w:val="center"/>
        <w:rPr>
          <w:rFonts w:hint="eastAsia" w:ascii="黑体" w:hAnsi="黑体" w:eastAsia="黑体" w:cs="黑体"/>
          <w:sz w:val="32"/>
          <w:szCs w:val="32"/>
        </w:rPr>
      </w:pPr>
      <w:r>
        <w:rPr>
          <w:rFonts w:hint="eastAsia" w:ascii="黑体" w:hAnsi="黑体" w:eastAsia="黑体" w:cs="黑体"/>
          <w:sz w:val="32"/>
          <w:szCs w:val="32"/>
        </w:rPr>
        <w:t>目</w:t>
      </w:r>
      <w:r>
        <w:rPr>
          <w:rFonts w:hint="eastAsia" w:ascii="黑体" w:hAnsi="黑体" w:eastAsia="黑体" w:cs="黑体"/>
          <w:sz w:val="32"/>
          <w:szCs w:val="32"/>
          <w:lang w:eastAsia="zh-CN"/>
        </w:rPr>
        <w:t>　</w:t>
      </w:r>
      <w:r>
        <w:rPr>
          <w:rFonts w:hint="eastAsia" w:ascii="黑体" w:hAnsi="黑体" w:eastAsia="黑体" w:cs="黑体"/>
          <w:sz w:val="32"/>
          <w:szCs w:val="32"/>
        </w:rPr>
        <w:t xml:space="preserve"> 次</w:t>
      </w:r>
    </w:p>
    <w:p>
      <w:pPr>
        <w:pStyle w:val="6"/>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rPr>
        <w:fldChar w:fldCharType="begin"/>
      </w:r>
      <w:r>
        <w:rPr>
          <w:rFonts w:hint="eastAsia"/>
        </w:rPr>
        <w:instrText xml:space="preserve">TOC \o "1-3" \h \u </w:instrText>
      </w:r>
      <w:r>
        <w:rPr>
          <w:rFonts w:hint="eastAsia"/>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_Toc25294 </w:instrText>
      </w:r>
      <w:r>
        <w:rPr>
          <w:rFonts w:hint="eastAsia" w:ascii="宋体" w:hAnsi="宋体" w:eastAsia="宋体" w:cs="宋体"/>
        </w:rPr>
        <w:fldChar w:fldCharType="separate"/>
      </w:r>
      <w:r>
        <w:rPr>
          <w:rFonts w:hint="eastAsia" w:ascii="宋体" w:hAnsi="宋体" w:eastAsia="宋体" w:cs="宋体"/>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_Toc25294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pPr>
        <w:pStyle w:val="7"/>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_Toc8300 </w:instrText>
      </w:r>
      <w:r>
        <w:rPr>
          <w:rFonts w:hint="eastAsia" w:ascii="宋体" w:hAnsi="宋体" w:eastAsia="宋体" w:cs="宋体"/>
        </w:rPr>
        <w:fldChar w:fldCharType="separate"/>
      </w:r>
      <w:r>
        <w:rPr>
          <w:rFonts w:hint="eastAsia" w:ascii="宋体" w:hAnsi="宋体" w:eastAsia="宋体" w:cs="宋体"/>
          <w:i w:val="0"/>
          <w:szCs w:val="21"/>
        </w:rPr>
        <w:t>1</w:t>
      </w:r>
      <w:r>
        <w:rPr>
          <w:rFonts w:hint="eastAsia" w:hAnsi="宋体" w:cs="宋体"/>
          <w:i w:val="0"/>
          <w:szCs w:val="21"/>
          <w:lang w:eastAsia="zh-CN"/>
        </w:rPr>
        <w:t>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_Toc8300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7"/>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_Toc17744 </w:instrText>
      </w:r>
      <w:r>
        <w:rPr>
          <w:rFonts w:hint="eastAsia" w:ascii="宋体" w:hAnsi="宋体" w:eastAsia="宋体" w:cs="宋体"/>
        </w:rPr>
        <w:fldChar w:fldCharType="separate"/>
      </w:r>
      <w:r>
        <w:rPr>
          <w:rFonts w:hint="eastAsia" w:ascii="宋体" w:hAnsi="宋体" w:eastAsia="宋体" w:cs="宋体"/>
          <w:i w:val="0"/>
          <w:szCs w:val="21"/>
        </w:rPr>
        <w:t>2</w:t>
      </w:r>
      <w:r>
        <w:rPr>
          <w:rFonts w:hint="eastAsia" w:hAnsi="宋体" w:cs="宋体"/>
          <w:i w:val="0"/>
          <w:szCs w:val="21"/>
          <w:lang w:eastAsia="zh-CN"/>
        </w:rPr>
        <w:t>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_Toc17744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7"/>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_Toc24405 </w:instrText>
      </w:r>
      <w:r>
        <w:rPr>
          <w:rFonts w:hint="eastAsia" w:ascii="宋体" w:hAnsi="宋体" w:eastAsia="宋体" w:cs="宋体"/>
        </w:rPr>
        <w:fldChar w:fldCharType="separate"/>
      </w:r>
      <w:r>
        <w:rPr>
          <w:rFonts w:hint="eastAsia" w:ascii="宋体" w:hAnsi="宋体" w:eastAsia="宋体" w:cs="宋体"/>
          <w:i w:val="0"/>
          <w:szCs w:val="21"/>
        </w:rPr>
        <w:t>3</w:t>
      </w:r>
      <w:r>
        <w:rPr>
          <w:rFonts w:hint="eastAsia" w:hAnsi="宋体" w:cs="宋体"/>
          <w:i w:val="0"/>
          <w:szCs w:val="21"/>
          <w:lang w:val="en-US" w:eastAsia="zh-CN"/>
        </w:rPr>
        <w:t>　</w:t>
      </w:r>
      <w:r>
        <w:rPr>
          <w:rFonts w:hint="eastAsia" w:ascii="宋体" w:hAnsi="宋体" w:eastAsia="宋体" w:cs="宋体"/>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_Toc24405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7"/>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_Toc7263 </w:instrText>
      </w:r>
      <w:r>
        <w:rPr>
          <w:rFonts w:hint="eastAsia" w:ascii="宋体" w:hAnsi="宋体" w:eastAsia="宋体" w:cs="宋体"/>
        </w:rPr>
        <w:fldChar w:fldCharType="separate"/>
      </w:r>
      <w:r>
        <w:rPr>
          <w:rFonts w:hint="eastAsia" w:ascii="宋体" w:hAnsi="宋体" w:eastAsia="宋体" w:cs="宋体"/>
          <w:i w:val="0"/>
          <w:szCs w:val="21"/>
          <w:lang w:val="en-US" w:eastAsia="zh-CN"/>
        </w:rPr>
        <w:t>4</w:t>
      </w:r>
      <w:r>
        <w:rPr>
          <w:rFonts w:hint="eastAsia" w:hAnsi="宋体" w:cs="宋体"/>
          <w:i w:val="0"/>
          <w:szCs w:val="21"/>
          <w:lang w:val="en-US" w:eastAsia="zh-CN"/>
        </w:rPr>
        <w:t>　</w:t>
      </w:r>
      <w:r>
        <w:rPr>
          <w:rFonts w:hint="eastAsia" w:ascii="宋体" w:hAnsi="宋体" w:eastAsia="宋体" w:cs="宋体"/>
          <w:szCs w:val="21"/>
          <w:lang w:val="en-US" w:eastAsia="zh-CN"/>
        </w:rPr>
        <w:t>缩略语</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_Toc7263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7"/>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_Toc19663 </w:instrText>
      </w:r>
      <w:r>
        <w:rPr>
          <w:rFonts w:hint="eastAsia" w:ascii="宋体" w:hAnsi="宋体" w:eastAsia="宋体" w:cs="宋体"/>
        </w:rPr>
        <w:fldChar w:fldCharType="separate"/>
      </w:r>
      <w:r>
        <w:rPr>
          <w:rFonts w:hint="eastAsia" w:ascii="宋体" w:hAnsi="宋体" w:eastAsia="宋体" w:cs="宋体"/>
          <w:i w:val="0"/>
          <w:szCs w:val="21"/>
        </w:rPr>
        <w:t>5</w:t>
      </w:r>
      <w:r>
        <w:rPr>
          <w:rFonts w:hint="eastAsia" w:hAnsi="宋体" w:cs="宋体"/>
          <w:i w:val="0"/>
          <w:szCs w:val="21"/>
          <w:lang w:eastAsia="zh-CN"/>
        </w:rPr>
        <w:t>　</w:t>
      </w:r>
      <w:r>
        <w:rPr>
          <w:rFonts w:hint="eastAsia" w:ascii="宋体" w:hAnsi="宋体" w:eastAsia="宋体" w:cs="宋体"/>
          <w:lang w:val="en-US" w:eastAsia="zh-CN"/>
        </w:rPr>
        <w:t>停车场（库）分类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_Toc19663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7"/>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_Toc16693 </w:instrText>
      </w:r>
      <w:r>
        <w:rPr>
          <w:rFonts w:hint="eastAsia" w:ascii="宋体" w:hAnsi="宋体" w:eastAsia="宋体" w:cs="宋体"/>
        </w:rPr>
        <w:fldChar w:fldCharType="separate"/>
      </w:r>
      <w:r>
        <w:rPr>
          <w:rFonts w:hint="eastAsia" w:ascii="宋体" w:hAnsi="宋体" w:eastAsia="宋体" w:cs="宋体"/>
          <w:i w:val="0"/>
          <w:szCs w:val="21"/>
          <w:lang w:val="en-US" w:eastAsia="zh-CN"/>
        </w:rPr>
        <w:t>6</w:t>
      </w:r>
      <w:r>
        <w:rPr>
          <w:rFonts w:hint="eastAsia" w:hAnsi="宋体" w:cs="宋体"/>
          <w:i w:val="0"/>
          <w:szCs w:val="21"/>
          <w:lang w:val="en-US" w:eastAsia="zh-CN"/>
        </w:rPr>
        <w:t>　</w:t>
      </w:r>
      <w:r>
        <w:rPr>
          <w:rFonts w:hint="eastAsia" w:ascii="宋体" w:hAnsi="宋体" w:eastAsia="宋体" w:cs="宋体"/>
          <w:szCs w:val="22"/>
          <w:lang w:val="en-US" w:eastAsia="zh-CN"/>
        </w:rPr>
        <w:t>编制原则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_Toc16693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7"/>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_Toc915 </w:instrText>
      </w:r>
      <w:r>
        <w:rPr>
          <w:rFonts w:hint="eastAsia" w:ascii="宋体" w:hAnsi="宋体" w:eastAsia="宋体" w:cs="宋体"/>
        </w:rPr>
        <w:fldChar w:fldCharType="separate"/>
      </w:r>
      <w:r>
        <w:rPr>
          <w:rFonts w:hint="eastAsia" w:ascii="宋体" w:hAnsi="宋体" w:eastAsia="宋体" w:cs="宋体"/>
          <w:i w:val="0"/>
          <w:szCs w:val="21"/>
        </w:rPr>
        <w:t>7</w:t>
      </w:r>
      <w:r>
        <w:rPr>
          <w:rFonts w:hint="eastAsia" w:hAnsi="宋体" w:cs="宋体"/>
          <w:i w:val="0"/>
          <w:szCs w:val="21"/>
          <w:lang w:val="en-US" w:eastAsia="zh-CN"/>
        </w:rPr>
        <w:t>　</w:t>
      </w:r>
      <w:r>
        <w:rPr>
          <w:rFonts w:hint="eastAsia" w:ascii="宋体" w:hAnsi="宋体" w:eastAsia="宋体" w:cs="宋体"/>
          <w:szCs w:val="24"/>
        </w:rPr>
        <w:t>接入原则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_Toc915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ind w:left="0" w:leftChars="0" w:firstLine="210" w:firstLineChars="100"/>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_Toc2993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7.1</w:t>
      </w:r>
      <w:r>
        <w:rPr>
          <w:rFonts w:hint="eastAsia" w:hAnsi="宋体" w:cs="宋体"/>
          <w:bCs w:val="0"/>
          <w:i w:val="0"/>
          <w:iCs w:val="0"/>
          <w:caps w:val="0"/>
          <w:strike w:val="0"/>
          <w:dstrike w:val="0"/>
          <w:vanish w:val="0"/>
          <w:spacing w:val="0"/>
          <w:kern w:val="0"/>
          <w:position w:val="0"/>
          <w:szCs w:val="21"/>
          <w:vertAlign w:val="baseline"/>
          <w:lang w:val="en-US" w:eastAsia="zh-CN"/>
        </w:rPr>
        <w:t>　</w:t>
      </w:r>
      <w:r>
        <w:rPr>
          <w:rFonts w:hint="eastAsia" w:ascii="宋体" w:hAnsi="宋体" w:eastAsia="宋体" w:cs="宋体"/>
          <w:szCs w:val="24"/>
        </w:rPr>
        <w:t>规范性和适应性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_Toc2993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ind w:left="0" w:leftChars="0" w:firstLine="0" w:firstLineChars="0"/>
        <w:textAlignment w:val="auto"/>
        <w:rPr>
          <w:rFonts w:hint="eastAsia" w:ascii="宋体" w:hAnsi="宋体" w:eastAsia="宋体" w:cs="宋体"/>
        </w:rPr>
      </w:pPr>
      <w:r>
        <w:rPr>
          <w:rFonts w:hint="eastAsia" w:hAnsi="宋体" w:cs="宋体"/>
          <w:lang w:eastAsia="zh-CN"/>
        </w:rPr>
        <w:t>　</w:t>
      </w:r>
      <w:r>
        <w:rPr>
          <w:rFonts w:hint="eastAsia" w:ascii="宋体" w:hAnsi="宋体" w:eastAsia="宋体" w:cs="宋体"/>
        </w:rPr>
        <w:fldChar w:fldCharType="begin"/>
      </w:r>
      <w:r>
        <w:rPr>
          <w:rFonts w:hint="eastAsia" w:ascii="宋体" w:hAnsi="宋体" w:eastAsia="宋体" w:cs="宋体"/>
        </w:rPr>
        <w:instrText xml:space="preserve"> HYPERLINK \l _Toc15328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7.2</w:t>
      </w:r>
      <w:r>
        <w:rPr>
          <w:rFonts w:hint="eastAsia" w:hAnsi="宋体" w:cs="宋体"/>
          <w:bCs w:val="0"/>
          <w:i w:val="0"/>
          <w:iCs w:val="0"/>
          <w:caps w:val="0"/>
          <w:strike w:val="0"/>
          <w:dstrike w:val="0"/>
          <w:vanish w:val="0"/>
          <w:spacing w:val="0"/>
          <w:kern w:val="0"/>
          <w:position w:val="0"/>
          <w:szCs w:val="21"/>
          <w:vertAlign w:val="baseline"/>
          <w:lang w:val="en-US" w:eastAsia="zh-CN"/>
        </w:rPr>
        <w:t>　</w:t>
      </w:r>
      <w:r>
        <w:rPr>
          <w:rFonts w:hint="eastAsia" w:ascii="宋体" w:hAnsi="宋体" w:eastAsia="宋体" w:cs="宋体"/>
          <w:szCs w:val="24"/>
        </w:rPr>
        <w:t>安全性和稳定性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_Toc15328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_Toc28458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7.3</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准确性和实时性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_Toc28458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_Toc29050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7.4</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兼容性和易用性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_Toc29050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7"/>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_Toc7922 </w:instrText>
      </w:r>
      <w:r>
        <w:rPr>
          <w:rFonts w:hint="eastAsia" w:ascii="宋体" w:hAnsi="宋体" w:eastAsia="宋体" w:cs="宋体"/>
        </w:rPr>
        <w:fldChar w:fldCharType="separate"/>
      </w:r>
      <w:r>
        <w:rPr>
          <w:rFonts w:hint="eastAsia" w:ascii="宋体" w:hAnsi="宋体" w:eastAsia="宋体" w:cs="宋体"/>
          <w:i w:val="0"/>
          <w:szCs w:val="21"/>
        </w:rPr>
        <w:t>8</w:t>
      </w:r>
      <w:r>
        <w:rPr>
          <w:rFonts w:hint="eastAsia" w:hAnsi="宋体" w:cs="宋体"/>
          <w:i w:val="0"/>
          <w:szCs w:val="21"/>
          <w:lang w:eastAsia="zh-CN"/>
        </w:rPr>
        <w:t>　</w:t>
      </w:r>
      <w:r>
        <w:rPr>
          <w:rFonts w:hint="eastAsia" w:ascii="宋体" w:hAnsi="宋体" w:eastAsia="宋体" w:cs="宋体"/>
          <w:szCs w:val="24"/>
        </w:rPr>
        <w:t>基本框架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_Toc7922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_Toc7812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8.1</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整体架构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_Toc7812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_Toc22608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8.2</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辽宁高速ETC拓展服务平台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_Toc22608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_Toc20496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8.3</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停车场接入服务平台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_Toc20496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_Toc19796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8.4</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停车场(库)信息管理系统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_Toc19796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7"/>
        <w:keepNext w:val="0"/>
        <w:keepLines w:val="0"/>
        <w:pageBreakBefore w:val="0"/>
        <w:widowControl w:val="0"/>
        <w:tabs>
          <w:tab w:val="right" w:leader="dot" w:pos="9355"/>
          <w:tab w:val="clear" w:pos="9242"/>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_Toc27695 </w:instrText>
      </w:r>
      <w:r>
        <w:rPr>
          <w:rFonts w:hint="eastAsia" w:ascii="宋体" w:hAnsi="宋体" w:eastAsia="宋体" w:cs="宋体"/>
        </w:rPr>
        <w:fldChar w:fldCharType="separate"/>
      </w:r>
      <w:r>
        <w:rPr>
          <w:rFonts w:hint="eastAsia" w:ascii="宋体" w:hAnsi="宋体" w:eastAsia="宋体" w:cs="宋体"/>
          <w:i w:val="0"/>
          <w:szCs w:val="21"/>
        </w:rPr>
        <w:t>9</w:t>
      </w:r>
      <w:r>
        <w:rPr>
          <w:rFonts w:hint="eastAsia" w:hAnsi="宋体" w:cs="宋体"/>
          <w:i w:val="0"/>
          <w:szCs w:val="21"/>
          <w:lang w:eastAsia="zh-CN"/>
        </w:rPr>
        <w:t>　</w:t>
      </w:r>
      <w:r>
        <w:rPr>
          <w:rFonts w:hint="eastAsia" w:ascii="宋体" w:hAnsi="宋体" w:eastAsia="宋体" w:cs="宋体"/>
          <w:szCs w:val="24"/>
        </w:rPr>
        <w:t>总体要求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_Toc27695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_Toc16157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9.1</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停车场（库）服务商要求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_Toc16157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_Toc7561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9.2</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highlight w:val="none"/>
        </w:rPr>
        <w:t>停车场（库）进出口VI要求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_Toc7561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_Toc2958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9.3</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highlight w:val="none"/>
        </w:rPr>
        <w:t>停车场（库）ETC天线设备要求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_Toc2958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_Toc14543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9.4</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highlight w:val="none"/>
        </w:rPr>
        <w:t>停车场（库）管理系统功能要求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_Toc14543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_Toc20878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9.5</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highlight w:val="none"/>
        </w:rPr>
        <w:t>停车场（库）管理系统数据交互参考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_Toc20878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_Toc21112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9.6</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highlight w:val="none"/>
        </w:rPr>
        <w:t>停车场（库）运维服务要求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_Toc21112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3"/>
        <w:keepNext w:val="0"/>
        <w:keepLines w:val="0"/>
        <w:pageBreakBefore w:val="0"/>
        <w:widowControl w:val="0"/>
        <w:tabs>
          <w:tab w:val="right" w:leader="dot" w:pos="9355"/>
          <w:tab w:val="clear" w:pos="9241"/>
        </w:tabs>
        <w:kinsoku/>
        <w:wordWrap/>
        <w:overflowPunct/>
        <w:topLinePunct w:val="0"/>
        <w:autoSpaceDE/>
        <w:autoSpaceDN/>
        <w:bidi w:val="0"/>
        <w:adjustRightInd/>
        <w:snapToGrid/>
        <w:spacing w:line="60" w:lineRule="auto"/>
        <w:textAlignment w:val="auto"/>
        <w:rPr>
          <w:rFonts w:hint="eastAsia"/>
        </w:rPr>
      </w:pPr>
      <w:r>
        <w:rPr>
          <w:rFonts w:hint="eastAsia" w:ascii="宋体" w:hAnsi="宋体" w:eastAsia="宋体" w:cs="宋体"/>
        </w:rPr>
        <w:fldChar w:fldCharType="begin"/>
      </w:r>
      <w:r>
        <w:rPr>
          <w:rFonts w:hint="eastAsia" w:ascii="宋体" w:hAnsi="宋体" w:eastAsia="宋体" w:cs="宋体"/>
        </w:rPr>
        <w:instrText xml:space="preserve"> HYPERLINK \l _Toc10298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9.7</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停车场接入服务平台系统建设参考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_Toc10298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r>
        <w:rPr>
          <w:rFonts w:hint="eastAsia"/>
        </w:rPr>
        <w:fldChar w:fldCharType="end"/>
      </w:r>
    </w:p>
    <w:p>
      <w:pPr>
        <w:pStyle w:val="29"/>
        <w:keepLines w:val="0"/>
        <w:kinsoku/>
        <w:wordWrap/>
        <w:overflowPunct/>
        <w:topLinePunct w:val="0"/>
        <w:bidi w:val="0"/>
        <w:adjustRightInd/>
        <w:snapToGrid/>
        <w:spacing w:line="312" w:lineRule="auto"/>
        <w:rPr>
          <w:rFonts w:hint="eastAsia"/>
        </w:rPr>
        <w:sectPr>
          <w:headerReference r:id="rId5" w:type="default"/>
          <w:footerReference r:id="rId6" w:type="default"/>
          <w:footerReference r:id="rId7" w:type="even"/>
          <w:pgSz w:w="11906" w:h="16838"/>
          <w:pgMar w:top="1417" w:right="1134" w:bottom="1134" w:left="1417" w:header="1418" w:footer="1134" w:gutter="0"/>
          <w:pgNumType w:fmt="upperRoman" w:start="1"/>
          <w:cols w:space="0" w:num="1"/>
          <w:formProt w:val="0"/>
          <w:docGrid w:type="lines" w:linePitch="312" w:charSpace="0"/>
        </w:sectPr>
      </w:pPr>
    </w:p>
    <w:p>
      <w:pPr>
        <w:pStyle w:val="29"/>
        <w:keepLines w:val="0"/>
        <w:kinsoku/>
        <w:wordWrap/>
        <w:overflowPunct/>
        <w:topLinePunct w:val="0"/>
        <w:bidi w:val="0"/>
        <w:adjustRightInd/>
        <w:snapToGrid/>
        <w:spacing w:line="312" w:lineRule="auto"/>
        <w:rPr>
          <w:rFonts w:hint="eastAsia" w:ascii="黑体" w:hAnsi="黑体" w:eastAsia="黑体" w:cs="黑体"/>
        </w:rPr>
      </w:pPr>
      <w:bookmarkStart w:id="2" w:name="_Toc1316"/>
      <w:bookmarkStart w:id="3" w:name="_Toc25294"/>
      <w:bookmarkStart w:id="4" w:name="_Toc18819"/>
      <w:bookmarkStart w:id="5" w:name="_Toc24066"/>
      <w:r>
        <w:rPr>
          <w:rFonts w:hint="eastAsia" w:ascii="黑体" w:hAnsi="黑体" w:eastAsia="黑体" w:cs="黑体"/>
        </w:rPr>
        <w:t>前</w:t>
      </w:r>
      <w:bookmarkStart w:id="6" w:name="BKQY"/>
      <w:r>
        <w:rPr>
          <w:rFonts w:hint="eastAsia" w:ascii="黑体" w:hAnsi="黑体" w:eastAsia="黑体" w:cs="黑体"/>
        </w:rPr>
        <w:t>  言</w:t>
      </w:r>
      <w:bookmarkEnd w:id="2"/>
      <w:bookmarkEnd w:id="3"/>
      <w:bookmarkEnd w:id="4"/>
      <w:bookmarkEnd w:id="5"/>
      <w:bookmarkEnd w:id="6"/>
    </w:p>
    <w:p>
      <w:pPr>
        <w:pStyle w:val="28"/>
        <w:keepLines w:val="0"/>
        <w:kinsoku/>
        <w:wordWrap/>
        <w:overflowPunct/>
        <w:topLinePunct w:val="0"/>
        <w:bidi w:val="0"/>
        <w:adjustRightInd/>
        <w:snapToGrid/>
        <w:spacing w:line="360" w:lineRule="auto"/>
        <w:rPr>
          <w:rFonts w:hAnsi="宋体"/>
        </w:rPr>
      </w:pPr>
      <w:r>
        <w:rPr>
          <w:rFonts w:hint="eastAsia" w:hAnsi="宋体"/>
        </w:rPr>
        <w:t>本文件按照GB/T 1.1-2020《标准化工作导则</w:t>
      </w:r>
      <w:r>
        <w:rPr>
          <w:rFonts w:hint="eastAsia" w:hAnsi="宋体"/>
          <w:lang w:val="en-US" w:eastAsia="zh-CN"/>
        </w:rPr>
        <w:t xml:space="preserve"> </w:t>
      </w:r>
      <w:r>
        <w:rPr>
          <w:rFonts w:hint="eastAsia" w:hAnsi="宋体"/>
        </w:rPr>
        <w:t>第1部分：标准化文件的结构和起草规则》的规</w:t>
      </w:r>
      <w:r>
        <w:rPr>
          <w:rFonts w:hint="default" w:hAnsi="宋体"/>
          <w:lang w:val="en-US"/>
        </w:rPr>
        <w:t>定</w:t>
      </w:r>
      <w:r>
        <w:rPr>
          <w:rFonts w:hint="eastAsia" w:hAnsi="宋体"/>
        </w:rPr>
        <w:t>起草。</w:t>
      </w:r>
    </w:p>
    <w:p>
      <w:pPr>
        <w:pStyle w:val="28"/>
        <w:keepLines w:val="0"/>
        <w:kinsoku/>
        <w:wordWrap/>
        <w:overflowPunct/>
        <w:topLinePunct w:val="0"/>
        <w:bidi w:val="0"/>
        <w:adjustRightInd/>
        <w:snapToGrid/>
        <w:spacing w:line="360" w:lineRule="auto"/>
        <w:rPr>
          <w:rFonts w:hAnsi="宋体"/>
        </w:rPr>
      </w:pPr>
      <w:r>
        <w:rPr>
          <w:rFonts w:hint="eastAsia" w:hAnsi="宋体"/>
        </w:rPr>
        <w:t>本文件</w:t>
      </w:r>
      <w:r>
        <w:rPr>
          <w:rFonts w:hAnsi="宋体"/>
        </w:rPr>
        <w:t>由</w:t>
      </w:r>
      <w:r>
        <w:rPr>
          <w:rFonts w:hint="eastAsia" w:hAnsi="宋体"/>
          <w:lang w:val="en-US" w:eastAsia="zh-CN"/>
        </w:rPr>
        <w:t>辽宁省工业和信息化厅</w:t>
      </w:r>
      <w:r>
        <w:rPr>
          <w:rFonts w:hAnsi="宋体"/>
        </w:rPr>
        <w:t>提出。</w:t>
      </w:r>
    </w:p>
    <w:p>
      <w:pPr>
        <w:pStyle w:val="28"/>
        <w:keepLines w:val="0"/>
        <w:kinsoku/>
        <w:wordWrap/>
        <w:overflowPunct/>
        <w:topLinePunct w:val="0"/>
        <w:bidi w:val="0"/>
        <w:adjustRightInd/>
        <w:snapToGrid/>
        <w:spacing w:line="360" w:lineRule="auto"/>
        <w:rPr>
          <w:rFonts w:hAnsi="宋体"/>
        </w:rPr>
      </w:pPr>
      <w:r>
        <w:rPr>
          <w:rFonts w:hint="eastAsia" w:hAnsi="宋体"/>
        </w:rPr>
        <w:t>本文件</w:t>
      </w:r>
      <w:r>
        <w:rPr>
          <w:rFonts w:hAnsi="宋体"/>
        </w:rPr>
        <w:t>由</w:t>
      </w:r>
      <w:r>
        <w:rPr>
          <w:rFonts w:hint="eastAsia" w:hAnsi="宋体"/>
          <w:lang w:val="en-US" w:eastAsia="zh-CN"/>
        </w:rPr>
        <w:t>辽宁省工业和信息化厅归口</w:t>
      </w:r>
      <w:r>
        <w:rPr>
          <w:rFonts w:hAnsi="宋体"/>
        </w:rPr>
        <w:t>。</w:t>
      </w:r>
    </w:p>
    <w:p>
      <w:pPr>
        <w:pStyle w:val="28"/>
        <w:spacing w:line="360" w:lineRule="auto"/>
        <w:rPr>
          <w:rFonts w:hAnsi="宋体"/>
        </w:rPr>
      </w:pPr>
      <w:r>
        <w:rPr>
          <w:rFonts w:hint="eastAsia" w:hAnsi="宋体"/>
        </w:rPr>
        <w:t>本文件起草单位：辽宁高速通智慧出行有限责任公司、沈阳东软交通信息技术有限公司。</w:t>
      </w:r>
    </w:p>
    <w:p>
      <w:pPr>
        <w:pStyle w:val="28"/>
        <w:spacing w:line="360" w:lineRule="auto"/>
      </w:pPr>
      <w:r>
        <w:rPr>
          <w:rFonts w:hint="eastAsia" w:hAnsi="宋体"/>
        </w:rPr>
        <w:t>本文件主要起草人：何沛韬、展恩宁、陈昱靦、朱瑞新、葛大明、王梦麟、王阳</w:t>
      </w:r>
      <w:r>
        <w:rPr>
          <w:rFonts w:hint="eastAsia" w:hAnsi="宋体"/>
          <w:lang w:eastAsia="zh-CN"/>
        </w:rPr>
        <w:t>、肇毓</w:t>
      </w:r>
      <w:r>
        <w:rPr>
          <w:rFonts w:hint="eastAsia"/>
        </w:rPr>
        <w:t>。</w:t>
      </w:r>
    </w:p>
    <w:p>
      <w:pPr>
        <w:pStyle w:val="28"/>
        <w:keepLines w:val="0"/>
        <w:kinsoku/>
        <w:wordWrap/>
        <w:overflowPunct/>
        <w:topLinePunct w:val="0"/>
        <w:bidi w:val="0"/>
        <w:adjustRightInd/>
        <w:snapToGrid/>
        <w:spacing w:line="360" w:lineRule="auto"/>
        <w:rPr>
          <w:rFonts w:hint="eastAsia"/>
        </w:rPr>
      </w:pPr>
      <w:r>
        <w:rPr>
          <w:rFonts w:hint="eastAsia"/>
        </w:rPr>
        <w:t>本文件发布实施后，任何单位和个人如有问题和意见建议，均可以通过来电和来函等方式进行反馈，我们将及时答复并认真处理，根据实际情况依法进行评估及复审。</w:t>
      </w:r>
    </w:p>
    <w:p>
      <w:pPr>
        <w:pStyle w:val="28"/>
        <w:keepLines w:val="0"/>
        <w:kinsoku/>
        <w:wordWrap/>
        <w:overflowPunct/>
        <w:topLinePunct w:val="0"/>
        <w:bidi w:val="0"/>
        <w:adjustRightInd/>
        <w:snapToGrid/>
        <w:spacing w:line="360" w:lineRule="auto"/>
        <w:rPr>
          <w:szCs w:val="22"/>
        </w:rPr>
        <w:sectPr>
          <w:headerReference r:id="rId8" w:type="default"/>
          <w:footerReference r:id="rId10" w:type="default"/>
          <w:headerReference r:id="rId9" w:type="even"/>
          <w:footerReference r:id="rId11" w:type="even"/>
          <w:pgSz w:w="11906" w:h="16838"/>
          <w:pgMar w:top="1417" w:right="1134" w:bottom="1134" w:left="1417" w:header="1418" w:footer="1134" w:gutter="0"/>
          <w:pgNumType w:fmt="upperRoman"/>
          <w:cols w:space="0" w:num="1"/>
          <w:formProt w:val="0"/>
          <w:docGrid w:type="lines" w:linePitch="312" w:charSpace="0"/>
        </w:sectPr>
      </w:pPr>
      <w:r>
        <w:rPr>
          <w:rFonts w:hint="eastAsia"/>
        </w:rPr>
        <w:t>本文件起草单位通讯地址和联系电话：</w:t>
      </w:r>
      <w:r>
        <w:rPr>
          <w:rFonts w:hint="eastAsia"/>
          <w:szCs w:val="22"/>
        </w:rPr>
        <w:t>辽宁省沈阳市浑南区胜利南街677-1，+861</w:t>
      </w:r>
      <w:r>
        <w:rPr>
          <w:rFonts w:hint="eastAsia"/>
          <w:szCs w:val="22"/>
          <w:lang w:val="en-US" w:eastAsia="zh-CN"/>
        </w:rPr>
        <w:t>3700026853</w:t>
      </w:r>
      <w:r>
        <w:rPr>
          <w:rFonts w:hint="eastAsia"/>
          <w:szCs w:val="22"/>
        </w:rPr>
        <w:t>。</w:t>
      </w:r>
      <w:bookmarkStart w:id="156" w:name="_GoBack"/>
      <w:bookmarkEnd w:id="156"/>
    </w:p>
    <w:bookmarkEnd w:id="0"/>
    <w:p>
      <w:pPr>
        <w:keepLines w:val="0"/>
        <w:kinsoku/>
        <w:wordWrap/>
        <w:overflowPunct/>
        <w:topLinePunct w:val="0"/>
        <w:bidi w:val="0"/>
        <w:adjustRightInd/>
        <w:snapToGrid/>
        <w:spacing w:line="360" w:lineRule="auto"/>
        <w:jc w:val="center"/>
        <w:rPr>
          <w:rFonts w:hint="eastAsia" w:ascii="黑体" w:hAnsi="黑体" w:eastAsia="黑体" w:cs="黑体"/>
          <w:sz w:val="32"/>
          <w:szCs w:val="32"/>
          <w:lang w:eastAsia="zh-CN"/>
        </w:rPr>
      </w:pPr>
      <w:r>
        <w:rPr>
          <w:rFonts w:hint="eastAsia" w:ascii="黑体" w:hAnsi="黑体" w:eastAsia="黑体" w:cs="黑体"/>
          <w:sz w:val="32"/>
          <w:szCs w:val="32"/>
          <w:lang w:eastAsia="zh-CN"/>
        </w:rPr>
        <w:t>ETC</w:t>
      </w:r>
      <w:r>
        <w:rPr>
          <w:rFonts w:hint="eastAsia" w:ascii="黑体" w:hAnsi="黑体" w:eastAsia="黑体" w:cs="黑体"/>
          <w:sz w:val="32"/>
          <w:szCs w:val="32"/>
          <w:lang w:val="en-US" w:eastAsia="zh-CN"/>
        </w:rPr>
        <w:t>智慧</w:t>
      </w:r>
      <w:r>
        <w:rPr>
          <w:rFonts w:hint="eastAsia" w:ascii="黑体" w:hAnsi="黑体" w:eastAsia="黑体" w:cs="黑体"/>
          <w:sz w:val="32"/>
          <w:szCs w:val="32"/>
          <w:lang w:eastAsia="zh-CN"/>
        </w:rPr>
        <w:t>停车场</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总则</w:t>
      </w:r>
    </w:p>
    <w:p>
      <w:pPr>
        <w:pStyle w:val="30"/>
        <w:keepLines w:val="0"/>
        <w:kinsoku/>
        <w:wordWrap/>
        <w:overflowPunct/>
        <w:topLinePunct w:val="0"/>
        <w:bidi w:val="0"/>
        <w:adjustRightInd/>
        <w:snapToGrid/>
        <w:spacing w:before="312" w:after="312" w:line="360" w:lineRule="auto"/>
      </w:pPr>
      <w:bookmarkStart w:id="7" w:name="_Toc8300"/>
      <w:bookmarkStart w:id="8" w:name="_Toc13382"/>
      <w:bookmarkStart w:id="9" w:name="_Toc21437"/>
      <w:bookmarkStart w:id="10" w:name="_Toc15340"/>
      <w:r>
        <w:rPr>
          <w:rFonts w:hint="eastAsia"/>
        </w:rPr>
        <w:t>范围</w:t>
      </w:r>
      <w:bookmarkEnd w:id="7"/>
      <w:bookmarkEnd w:id="8"/>
      <w:bookmarkEnd w:id="9"/>
      <w:bookmarkEnd w:id="10"/>
    </w:p>
    <w:p>
      <w:pPr>
        <w:pStyle w:val="28"/>
        <w:keepLines w:val="0"/>
        <w:kinsoku/>
        <w:wordWrap/>
        <w:overflowPunct/>
        <w:topLinePunct w:val="0"/>
        <w:bidi w:val="0"/>
        <w:adjustRightInd/>
        <w:snapToGrid/>
        <w:spacing w:line="360" w:lineRule="auto"/>
        <w:rPr>
          <w:rFonts w:hint="eastAsia"/>
          <w:lang w:val="en-US" w:eastAsia="zh-CN"/>
        </w:rPr>
      </w:pPr>
      <w:r>
        <w:rPr>
          <w:rFonts w:hint="eastAsia"/>
          <w:lang w:val="en-US" w:eastAsia="zh-CN"/>
        </w:rPr>
        <w:t>本文件规定了</w:t>
      </w:r>
      <w:r>
        <w:rPr>
          <w:rFonts w:hint="eastAsia" w:ascii="宋体" w:hAnsi="宋体" w:eastAsia="宋体" w:cs="宋体"/>
          <w:szCs w:val="24"/>
        </w:rPr>
        <w:t>辽宁高速ETC</w:t>
      </w:r>
      <w:r>
        <w:rPr>
          <w:rFonts w:hint="eastAsia" w:ascii="宋体" w:hAnsi="宋体" w:cs="宋体"/>
          <w:szCs w:val="24"/>
          <w:lang w:val="en-US" w:eastAsia="zh-CN"/>
        </w:rPr>
        <w:t>智慧</w:t>
      </w:r>
      <w:r>
        <w:rPr>
          <w:rFonts w:hint="eastAsia" w:ascii="宋体" w:hAnsi="宋体" w:eastAsia="宋体" w:cs="宋体"/>
          <w:szCs w:val="24"/>
        </w:rPr>
        <w:t>停车场</w:t>
      </w:r>
      <w:r>
        <w:rPr>
          <w:rFonts w:hint="eastAsia" w:hAnsi="宋体" w:cs="宋体"/>
          <w:szCs w:val="24"/>
          <w:lang w:val="en-US" w:eastAsia="zh-CN"/>
        </w:rPr>
        <w:t>的</w:t>
      </w:r>
      <w:r>
        <w:rPr>
          <w:rFonts w:hint="eastAsia"/>
          <w:lang w:val="en-US" w:eastAsia="zh-CN"/>
        </w:rPr>
        <w:t>接入原则、基本框架及总体要求。</w:t>
      </w:r>
    </w:p>
    <w:p>
      <w:pPr>
        <w:pStyle w:val="28"/>
        <w:spacing w:line="360" w:lineRule="auto"/>
        <w:rPr>
          <w:szCs w:val="21"/>
          <w:highlight w:val="none"/>
        </w:rPr>
      </w:pPr>
      <w:bookmarkStart w:id="11" w:name="_Toc17744"/>
      <w:bookmarkStart w:id="12" w:name="_Toc28726"/>
      <w:bookmarkStart w:id="13" w:name="_Toc13501"/>
      <w:bookmarkStart w:id="14" w:name="_Toc969"/>
      <w:r>
        <w:rPr>
          <w:rFonts w:hint="eastAsia"/>
          <w:szCs w:val="21"/>
          <w:highlight w:val="none"/>
        </w:rPr>
        <w:tab/>
      </w:r>
      <w:r>
        <w:rPr>
          <w:rFonts w:hint="eastAsia"/>
          <w:szCs w:val="21"/>
          <w:highlight w:val="none"/>
        </w:rPr>
        <w:t>本文件适用于接入辽宁高速ETC升级改造</w:t>
      </w:r>
      <w:r>
        <w:rPr>
          <w:rFonts w:hint="eastAsia"/>
          <w:szCs w:val="21"/>
          <w:highlight w:val="none"/>
          <w:lang w:val="en-US" w:eastAsia="zh-CN"/>
        </w:rPr>
        <w:t>的</w:t>
      </w:r>
      <w:r>
        <w:rPr>
          <w:rFonts w:hint="eastAsia"/>
          <w:szCs w:val="21"/>
          <w:highlight w:val="none"/>
        </w:rPr>
        <w:t>停车场（库）以及辽宁高速投资建设停车场（库）。</w:t>
      </w:r>
    </w:p>
    <w:p>
      <w:pPr>
        <w:pStyle w:val="30"/>
        <w:keepLines w:val="0"/>
        <w:kinsoku/>
        <w:wordWrap/>
        <w:overflowPunct/>
        <w:topLinePunct w:val="0"/>
        <w:bidi w:val="0"/>
        <w:adjustRightInd/>
        <w:snapToGrid/>
        <w:spacing w:before="312" w:after="312" w:line="360" w:lineRule="auto"/>
      </w:pPr>
      <w:r>
        <w:rPr>
          <w:rFonts w:hint="eastAsia"/>
        </w:rPr>
        <w:t>规范性引用文件</w:t>
      </w:r>
      <w:bookmarkEnd w:id="11"/>
      <w:bookmarkEnd w:id="12"/>
      <w:bookmarkEnd w:id="13"/>
      <w:bookmarkEnd w:id="14"/>
    </w:p>
    <w:p>
      <w:pPr>
        <w:pStyle w:val="28"/>
        <w:rPr>
          <w:rFonts w:hint="default" w:eastAsia="宋体"/>
          <w:lang w:val="en-US" w:eastAsia="zh-CN"/>
        </w:rPr>
      </w:pPr>
      <w:bookmarkStart w:id="15" w:name="_Toc420509244"/>
      <w:bookmarkStart w:id="16" w:name="_Toc420509188"/>
      <w:bookmarkStart w:id="17" w:name="_Toc5294"/>
      <w:bookmarkStart w:id="18" w:name="_Toc12695"/>
      <w:bookmarkStart w:id="19" w:name="_Toc24405"/>
      <w:bookmarkStart w:id="20" w:name="_Toc24065"/>
      <w:r>
        <w:rPr>
          <w:rFonts w:hint="eastAsia"/>
          <w:lang w:val="en-US" w:eastAsia="zh-CN"/>
        </w:rPr>
        <w:t>本文件没有规范性引用文件。</w:t>
      </w:r>
    </w:p>
    <w:p>
      <w:pPr>
        <w:pStyle w:val="30"/>
        <w:keepLines w:val="0"/>
        <w:kinsoku/>
        <w:wordWrap/>
        <w:overflowPunct/>
        <w:topLinePunct w:val="0"/>
        <w:bidi w:val="0"/>
        <w:adjustRightInd/>
        <w:snapToGrid/>
        <w:spacing w:before="312" w:after="312" w:line="360" w:lineRule="auto"/>
      </w:pPr>
      <w:r>
        <w:rPr>
          <w:rFonts w:hint="eastAsia"/>
        </w:rPr>
        <w:t>术语和定义</w:t>
      </w:r>
      <w:bookmarkEnd w:id="15"/>
      <w:bookmarkEnd w:id="16"/>
      <w:bookmarkEnd w:id="17"/>
      <w:bookmarkEnd w:id="18"/>
      <w:bookmarkEnd w:id="19"/>
      <w:bookmarkEnd w:id="20"/>
    </w:p>
    <w:p>
      <w:pPr>
        <w:pStyle w:val="28"/>
        <w:keepLines w:val="0"/>
        <w:kinsoku/>
        <w:wordWrap/>
        <w:overflowPunct/>
        <w:topLinePunct w:val="0"/>
        <w:bidi w:val="0"/>
        <w:adjustRightInd/>
        <w:snapToGrid/>
        <w:spacing w:line="360" w:lineRule="auto"/>
        <w:rPr>
          <w:rFonts w:hAnsi="宋体"/>
        </w:rPr>
      </w:pPr>
      <w:r>
        <w:rPr>
          <w:rFonts w:hAnsi="宋体"/>
        </w:rPr>
        <w:t>下列术语和定义适用于本</w:t>
      </w:r>
      <w:r>
        <w:rPr>
          <w:rFonts w:hint="eastAsia" w:hAnsi="宋体"/>
        </w:rPr>
        <w:t>文件。</w:t>
      </w:r>
    </w:p>
    <w:p>
      <w:pPr>
        <w:pStyle w:val="31"/>
        <w:keepLines w:val="0"/>
        <w:kinsoku/>
        <w:wordWrap/>
        <w:overflowPunct/>
        <w:topLinePunct w:val="0"/>
        <w:bidi w:val="0"/>
        <w:adjustRightInd/>
        <w:snapToGrid/>
        <w:spacing w:before="156" w:after="156" w:line="360" w:lineRule="auto"/>
        <w:rPr>
          <w:rFonts w:hint="eastAsia"/>
        </w:rPr>
      </w:pPr>
      <w:bookmarkStart w:id="21" w:name="_Toc5131"/>
      <w:bookmarkEnd w:id="21"/>
      <w:bookmarkStart w:id="22" w:name="_Toc16863"/>
      <w:bookmarkEnd w:id="22"/>
      <w:bookmarkStart w:id="23" w:name="_Toc26255"/>
      <w:bookmarkEnd w:id="23"/>
      <w:bookmarkStart w:id="24" w:name="_Toc6349"/>
      <w:bookmarkEnd w:id="24"/>
      <w:bookmarkStart w:id="25" w:name="_Toc29340"/>
      <w:bookmarkEnd w:id="25"/>
      <w:bookmarkStart w:id="26" w:name="_Toc12270"/>
      <w:bookmarkEnd w:id="26"/>
      <w:bookmarkStart w:id="27" w:name="_Toc420509189"/>
      <w:bookmarkEnd w:id="27"/>
      <w:bookmarkStart w:id="28" w:name="_Toc420509245"/>
      <w:bookmarkEnd w:id="28"/>
      <w:bookmarkStart w:id="29" w:name="_Toc1258"/>
      <w:bookmarkEnd w:id="29"/>
      <w:bookmarkStart w:id="30" w:name="_Toc16784"/>
      <w:bookmarkEnd w:id="30"/>
      <w:bookmarkStart w:id="31" w:name="_Toc20309"/>
      <w:bookmarkEnd w:id="31"/>
      <w:bookmarkStart w:id="32" w:name="_Toc20836"/>
      <w:bookmarkEnd w:id="32"/>
      <w:bookmarkStart w:id="33" w:name="_Toc11884"/>
      <w:bookmarkEnd w:id="33"/>
      <w:bookmarkStart w:id="34" w:name="_Toc1701"/>
      <w:bookmarkEnd w:id="34"/>
      <w:bookmarkStart w:id="35" w:name="_Toc26135"/>
      <w:bookmarkEnd w:id="35"/>
      <w:bookmarkStart w:id="36" w:name="_Toc420508186"/>
      <w:bookmarkStart w:id="37" w:name="_Toc420582963"/>
    </w:p>
    <w:p>
      <w:pPr>
        <w:pStyle w:val="28"/>
        <w:keepLines w:val="0"/>
        <w:kinsoku/>
        <w:wordWrap/>
        <w:overflowPunct/>
        <w:topLinePunct w:val="0"/>
        <w:bidi w:val="0"/>
        <w:adjustRightInd/>
        <w:snapToGrid/>
        <w:spacing w:line="360" w:lineRule="auto"/>
        <w:rPr>
          <w:rFonts w:hint="eastAsia" w:ascii="黑体" w:eastAsia="黑体"/>
          <w:szCs w:val="21"/>
          <w:highlight w:val="none"/>
        </w:rPr>
      </w:pPr>
      <w:r>
        <w:rPr>
          <w:rFonts w:hint="eastAsia" w:ascii="黑体" w:eastAsia="黑体"/>
          <w:szCs w:val="21"/>
          <w:highlight w:val="none"/>
          <w:lang w:eastAsia="zh-CN"/>
        </w:rPr>
        <w:t>车（泊）位　</w:t>
      </w:r>
      <w:r>
        <w:rPr>
          <w:rFonts w:hint="eastAsia" w:ascii="黑体" w:eastAsia="黑体"/>
          <w:szCs w:val="21"/>
          <w:highlight w:val="none"/>
          <w:lang w:val="en-US" w:eastAsia="zh-CN"/>
        </w:rPr>
        <w:t>p</w:t>
      </w:r>
      <w:r>
        <w:rPr>
          <w:rFonts w:hint="eastAsia" w:ascii="黑体" w:eastAsia="黑体"/>
          <w:szCs w:val="21"/>
          <w:highlight w:val="none"/>
          <w:lang w:eastAsia="zh-CN"/>
        </w:rPr>
        <w:t>arking space</w:t>
      </w:r>
    </w:p>
    <w:p>
      <w:pPr>
        <w:pStyle w:val="28"/>
        <w:keepLines w:val="0"/>
        <w:kinsoku/>
        <w:wordWrap/>
        <w:overflowPunct/>
        <w:topLinePunct w:val="0"/>
        <w:bidi w:val="0"/>
        <w:adjustRightInd/>
        <w:snapToGrid/>
        <w:spacing w:line="360" w:lineRule="auto"/>
        <w:rPr>
          <w:rFonts w:hint="eastAsia" w:hAnsi="宋体" w:cs="宋体"/>
          <w:szCs w:val="21"/>
          <w:highlight w:val="none"/>
          <w:lang w:val="en-US" w:eastAsia="zh-CN"/>
        </w:rPr>
      </w:pPr>
      <w:r>
        <w:rPr>
          <w:rFonts w:hint="eastAsia" w:hAnsi="宋体" w:cs="宋体"/>
          <w:szCs w:val="21"/>
          <w:highlight w:val="none"/>
          <w:lang w:val="en-US" w:eastAsia="zh-CN"/>
        </w:rPr>
        <w:t>专供汽车停放的位置，一个停车场会有多个车（泊）位。</w:t>
      </w:r>
    </w:p>
    <w:p>
      <w:pPr>
        <w:pStyle w:val="31"/>
        <w:keepLines w:val="0"/>
        <w:kinsoku/>
        <w:wordWrap/>
        <w:overflowPunct/>
        <w:topLinePunct w:val="0"/>
        <w:bidi w:val="0"/>
        <w:adjustRightInd/>
        <w:snapToGrid/>
        <w:spacing w:before="156" w:after="156" w:line="360" w:lineRule="auto"/>
        <w:rPr>
          <w:rFonts w:hint="eastAsia"/>
          <w:highlight w:val="none"/>
        </w:rPr>
      </w:pPr>
      <w:bookmarkStart w:id="38" w:name="_Toc12836"/>
      <w:bookmarkEnd w:id="38"/>
      <w:bookmarkStart w:id="39" w:name="_Toc31869"/>
      <w:bookmarkEnd w:id="39"/>
      <w:bookmarkStart w:id="40" w:name="_Toc7206"/>
      <w:bookmarkEnd w:id="40"/>
      <w:bookmarkStart w:id="41" w:name="_Toc27726"/>
      <w:bookmarkEnd w:id="41"/>
      <w:bookmarkStart w:id="42" w:name="_Toc14862"/>
      <w:bookmarkEnd w:id="42"/>
      <w:bookmarkStart w:id="43" w:name="_Toc29691"/>
      <w:bookmarkEnd w:id="43"/>
      <w:bookmarkStart w:id="44" w:name="_Toc24110"/>
      <w:bookmarkEnd w:id="44"/>
      <w:bookmarkStart w:id="45" w:name="_Toc7552"/>
      <w:bookmarkEnd w:id="45"/>
      <w:bookmarkStart w:id="46" w:name="_Toc22486"/>
      <w:bookmarkEnd w:id="46"/>
      <w:bookmarkStart w:id="47" w:name="_Toc5590"/>
      <w:bookmarkEnd w:id="47"/>
      <w:bookmarkStart w:id="48" w:name="_Toc1"/>
      <w:bookmarkEnd w:id="48"/>
      <w:bookmarkStart w:id="49" w:name="_Toc9837"/>
      <w:bookmarkEnd w:id="49"/>
      <w:bookmarkStart w:id="50" w:name="_Toc5173"/>
      <w:bookmarkEnd w:id="50"/>
      <w:bookmarkStart w:id="51" w:name="_Toc4547"/>
      <w:bookmarkEnd w:id="51"/>
      <w:bookmarkStart w:id="52" w:name="_Toc23052"/>
      <w:bookmarkEnd w:id="52"/>
      <w:bookmarkStart w:id="53" w:name="_Toc6338"/>
      <w:bookmarkEnd w:id="53"/>
      <w:bookmarkStart w:id="54" w:name="_Toc1648"/>
      <w:bookmarkEnd w:id="54"/>
      <w:bookmarkStart w:id="55" w:name="_Toc14701"/>
      <w:bookmarkEnd w:id="55"/>
      <w:bookmarkStart w:id="56" w:name="_Toc26977"/>
      <w:bookmarkEnd w:id="56"/>
      <w:bookmarkStart w:id="57" w:name="_Toc28225"/>
      <w:bookmarkEnd w:id="57"/>
      <w:bookmarkStart w:id="58" w:name="_Toc25872"/>
      <w:bookmarkEnd w:id="58"/>
      <w:bookmarkStart w:id="59" w:name="_Toc24969"/>
      <w:bookmarkEnd w:id="59"/>
      <w:bookmarkStart w:id="60" w:name="_Toc3009"/>
      <w:bookmarkEnd w:id="60"/>
      <w:bookmarkStart w:id="61" w:name="_Toc30586"/>
      <w:bookmarkEnd w:id="61"/>
      <w:bookmarkStart w:id="62" w:name="_Toc27557"/>
      <w:bookmarkEnd w:id="62"/>
      <w:bookmarkStart w:id="63" w:name="_Toc13834"/>
      <w:bookmarkEnd w:id="63"/>
    </w:p>
    <w:p>
      <w:pPr>
        <w:pStyle w:val="28"/>
        <w:keepLines w:val="0"/>
        <w:kinsoku/>
        <w:wordWrap/>
        <w:overflowPunct/>
        <w:topLinePunct w:val="0"/>
        <w:bidi w:val="0"/>
        <w:adjustRightInd/>
        <w:snapToGrid/>
        <w:spacing w:line="360" w:lineRule="auto"/>
        <w:rPr>
          <w:rFonts w:hint="eastAsia" w:ascii="黑体" w:eastAsia="黑体"/>
          <w:szCs w:val="21"/>
          <w:highlight w:val="none"/>
        </w:rPr>
      </w:pPr>
      <w:r>
        <w:rPr>
          <w:rFonts w:hint="eastAsia" w:ascii="黑体" w:eastAsia="黑体"/>
          <w:szCs w:val="21"/>
          <w:highlight w:val="none"/>
        </w:rPr>
        <w:t>ETC拓展服务平台</w:t>
      </w:r>
      <w:r>
        <w:rPr>
          <w:rFonts w:hint="eastAsia" w:ascii="黑体" w:eastAsia="黑体"/>
          <w:szCs w:val="21"/>
          <w:highlight w:val="none"/>
          <w:lang w:val="en-US" w:eastAsia="zh-CN"/>
        </w:rPr>
        <w:t>　ETC</w:t>
      </w:r>
      <w:r>
        <w:rPr>
          <w:rFonts w:hint="eastAsia" w:ascii="黑体" w:eastAsia="黑体"/>
          <w:szCs w:val="21"/>
          <w:highlight w:val="none"/>
        </w:rPr>
        <w:t xml:space="preserve"> expand service platform</w:t>
      </w:r>
    </w:p>
    <w:p>
      <w:pPr>
        <w:pStyle w:val="28"/>
        <w:keepLines w:val="0"/>
        <w:kinsoku/>
        <w:wordWrap/>
        <w:overflowPunct/>
        <w:topLinePunct w:val="0"/>
        <w:bidi w:val="0"/>
        <w:adjustRightInd/>
        <w:snapToGrid/>
        <w:spacing w:line="360" w:lineRule="auto"/>
        <w:rPr>
          <w:rFonts w:hint="eastAsia"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lang w:val="en-US" w:eastAsia="zh-CN"/>
        </w:rPr>
        <w:t>由辽宁ETC发行机构负责组织建设并运行维护，负责服务商和商户入网检查、审核报备、多级分层管理运营、车主营销、天线设备对接管理、ETC支付交易对账清分、差错处理、银行系统对接、交易和资金风控</w:t>
      </w:r>
      <w:r>
        <w:rPr>
          <w:rFonts w:hint="eastAsia" w:hAnsi="宋体" w:cs="宋体"/>
          <w:szCs w:val="21"/>
          <w:highlight w:val="none"/>
          <w:shd w:val="clear" w:color="auto" w:fill="FFFFFF"/>
          <w:lang w:val="en-US" w:eastAsia="zh-CN"/>
        </w:rPr>
        <w:t>及</w:t>
      </w:r>
      <w:r>
        <w:rPr>
          <w:rFonts w:hint="eastAsia" w:ascii="宋体" w:hAnsi="宋体" w:eastAsia="宋体" w:cs="宋体"/>
          <w:szCs w:val="21"/>
          <w:highlight w:val="none"/>
          <w:shd w:val="clear" w:color="auto" w:fill="FFFFFF"/>
          <w:lang w:val="en-US" w:eastAsia="zh-CN"/>
        </w:rPr>
        <w:t>电子发票等。通过与停车场计费软件对接，车辆出口时，将交易上送拓展应用平台，完成停车ETC扣费。</w:t>
      </w:r>
    </w:p>
    <w:p>
      <w:pPr>
        <w:pStyle w:val="31"/>
        <w:keepLines w:val="0"/>
        <w:kinsoku/>
        <w:wordWrap/>
        <w:overflowPunct/>
        <w:topLinePunct w:val="0"/>
        <w:bidi w:val="0"/>
        <w:adjustRightInd/>
        <w:snapToGrid/>
        <w:spacing w:before="156" w:after="156" w:line="360" w:lineRule="auto"/>
        <w:rPr>
          <w:rFonts w:hint="eastAsia"/>
          <w:highlight w:val="none"/>
        </w:rPr>
      </w:pPr>
      <w:bookmarkStart w:id="64" w:name="_Toc31487"/>
      <w:bookmarkEnd w:id="64"/>
      <w:bookmarkStart w:id="65" w:name="_Toc17466"/>
      <w:bookmarkEnd w:id="65"/>
      <w:bookmarkStart w:id="66" w:name="_Toc27868"/>
      <w:bookmarkEnd w:id="66"/>
      <w:bookmarkStart w:id="67" w:name="_Toc17398"/>
      <w:bookmarkEnd w:id="67"/>
      <w:bookmarkStart w:id="68" w:name="_Toc21269"/>
      <w:bookmarkEnd w:id="68"/>
      <w:bookmarkStart w:id="69" w:name="_Toc28227"/>
      <w:bookmarkEnd w:id="69"/>
      <w:bookmarkStart w:id="70" w:name="_Toc11206"/>
      <w:bookmarkEnd w:id="70"/>
      <w:bookmarkStart w:id="71" w:name="_Toc28722"/>
      <w:bookmarkEnd w:id="71"/>
      <w:bookmarkStart w:id="72" w:name="_Toc4260"/>
      <w:bookmarkEnd w:id="72"/>
      <w:bookmarkStart w:id="73" w:name="_Toc24306"/>
      <w:bookmarkEnd w:id="73"/>
      <w:bookmarkStart w:id="74" w:name="_Toc26898"/>
      <w:bookmarkEnd w:id="74"/>
      <w:bookmarkStart w:id="75" w:name="_Toc4638"/>
      <w:bookmarkEnd w:id="75"/>
    </w:p>
    <w:p>
      <w:pPr>
        <w:pStyle w:val="28"/>
        <w:keepNext w:val="0"/>
        <w:keepLines w:val="0"/>
        <w:pageBreakBefore w:val="0"/>
        <w:widowControl/>
        <w:kinsoku/>
        <w:wordWrap/>
        <w:overflowPunct/>
        <w:topLinePunct w:val="0"/>
        <w:autoSpaceDE w:val="0"/>
        <w:autoSpaceDN w:val="0"/>
        <w:bidi w:val="0"/>
        <w:adjustRightInd/>
        <w:snapToGrid/>
        <w:spacing w:line="360" w:lineRule="auto"/>
        <w:textAlignment w:val="auto"/>
        <w:rPr>
          <w:rFonts w:ascii="黑体" w:eastAsia="黑体"/>
          <w:szCs w:val="21"/>
          <w:highlight w:val="none"/>
        </w:rPr>
      </w:pPr>
      <w:bookmarkStart w:id="76" w:name="_Toc11885"/>
      <w:bookmarkEnd w:id="76"/>
      <w:bookmarkStart w:id="77" w:name="_Toc8353"/>
      <w:bookmarkEnd w:id="77"/>
      <w:bookmarkStart w:id="78" w:name="_Toc16359"/>
      <w:bookmarkEnd w:id="78"/>
      <w:bookmarkStart w:id="79" w:name="_Toc11996"/>
      <w:bookmarkEnd w:id="79"/>
      <w:bookmarkStart w:id="80" w:name="_Toc14962"/>
      <w:bookmarkEnd w:id="80"/>
      <w:bookmarkStart w:id="81" w:name="_Toc22461"/>
      <w:bookmarkEnd w:id="81"/>
      <w:bookmarkStart w:id="82" w:name="_Toc26390"/>
      <w:bookmarkEnd w:id="82"/>
      <w:bookmarkStart w:id="83" w:name="_Toc14011"/>
      <w:bookmarkEnd w:id="83"/>
      <w:bookmarkStart w:id="84" w:name="_Toc8051"/>
      <w:bookmarkEnd w:id="84"/>
      <w:bookmarkStart w:id="85" w:name="_Toc29278"/>
      <w:bookmarkEnd w:id="85"/>
      <w:r>
        <w:rPr>
          <w:rFonts w:hint="eastAsia" w:ascii="黑体" w:eastAsia="黑体"/>
          <w:b w:val="0"/>
          <w:bCs w:val="0"/>
          <w:szCs w:val="21"/>
          <w:highlight w:val="none"/>
        </w:rPr>
        <w:t>公共停车场（库）</w:t>
      </w:r>
      <w:r>
        <w:rPr>
          <w:rFonts w:hint="eastAsia" w:ascii="黑体" w:eastAsia="黑体"/>
          <w:b/>
          <w:bCs/>
          <w:szCs w:val="21"/>
          <w:highlight w:val="none"/>
          <w:lang w:val="en-US" w:eastAsia="zh-CN"/>
        </w:rPr>
        <w:t>　</w:t>
      </w:r>
      <w:r>
        <w:rPr>
          <w:rFonts w:hint="eastAsia" w:ascii="黑体" w:eastAsia="黑体"/>
          <w:szCs w:val="21"/>
          <w:highlight w:val="none"/>
          <w:lang w:val="en-US" w:eastAsia="zh-CN"/>
        </w:rPr>
        <w:t>p</w:t>
      </w:r>
      <w:r>
        <w:rPr>
          <w:rFonts w:hint="eastAsia" w:ascii="黑体" w:eastAsia="黑体"/>
          <w:szCs w:val="21"/>
          <w:highlight w:val="none"/>
        </w:rPr>
        <w:t>ublic parking lot（garage）</w:t>
      </w:r>
    </w:p>
    <w:p>
      <w:pPr>
        <w:pStyle w:val="28"/>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highlight w:val="none"/>
        </w:rPr>
      </w:pPr>
      <w:r>
        <w:rPr>
          <w:rFonts w:hint="eastAsia"/>
          <w:szCs w:val="22"/>
          <w:highlight w:val="none"/>
        </w:rPr>
        <w:t>位于道路红线以外的独立占地的面向公众服务的停车场，</w:t>
      </w:r>
      <w:r>
        <w:rPr>
          <w:rFonts w:hint="eastAsia"/>
          <w:szCs w:val="22"/>
          <w:highlight w:val="none"/>
          <w:lang w:val="en-US" w:eastAsia="zh-CN"/>
        </w:rPr>
        <w:t>以及</w:t>
      </w:r>
      <w:r>
        <w:rPr>
          <w:rFonts w:hint="eastAsia"/>
          <w:szCs w:val="22"/>
          <w:highlight w:val="none"/>
        </w:rPr>
        <w:t>由建筑物代建的不独立占地的面向公众服务的停车场（库）。</w:t>
      </w:r>
    </w:p>
    <w:p>
      <w:pPr>
        <w:pStyle w:val="31"/>
        <w:keepLines w:val="0"/>
        <w:kinsoku/>
        <w:wordWrap/>
        <w:overflowPunct/>
        <w:topLinePunct w:val="0"/>
        <w:bidi w:val="0"/>
        <w:adjustRightInd/>
        <w:snapToGrid/>
        <w:spacing w:before="156" w:after="156" w:line="360" w:lineRule="auto"/>
        <w:rPr>
          <w:rFonts w:hint="eastAsia"/>
          <w:highlight w:val="none"/>
        </w:rPr>
      </w:pPr>
      <w:bookmarkStart w:id="86" w:name="_Toc18918"/>
      <w:bookmarkEnd w:id="86"/>
      <w:bookmarkStart w:id="87" w:name="_Toc32128"/>
      <w:bookmarkEnd w:id="87"/>
      <w:bookmarkStart w:id="88" w:name="_Toc20187"/>
      <w:bookmarkEnd w:id="88"/>
      <w:bookmarkStart w:id="89" w:name="_Toc13469"/>
      <w:bookmarkEnd w:id="89"/>
      <w:bookmarkStart w:id="90" w:name="_Toc30299"/>
      <w:bookmarkEnd w:id="90"/>
      <w:bookmarkStart w:id="91" w:name="_Toc17999"/>
      <w:bookmarkEnd w:id="91"/>
      <w:bookmarkStart w:id="92" w:name="_Toc6658"/>
      <w:bookmarkEnd w:id="92"/>
      <w:bookmarkStart w:id="93" w:name="_Toc9716"/>
      <w:bookmarkEnd w:id="93"/>
      <w:bookmarkStart w:id="94" w:name="_Toc5579"/>
      <w:bookmarkEnd w:id="94"/>
      <w:bookmarkStart w:id="95" w:name="_Toc10438"/>
      <w:bookmarkEnd w:id="95"/>
      <w:bookmarkStart w:id="96" w:name="_Toc20638"/>
      <w:bookmarkEnd w:id="96"/>
    </w:p>
    <w:p>
      <w:pPr>
        <w:pStyle w:val="28"/>
        <w:keepLines w:val="0"/>
        <w:kinsoku/>
        <w:wordWrap/>
        <w:overflowPunct/>
        <w:topLinePunct w:val="0"/>
        <w:bidi w:val="0"/>
        <w:adjustRightInd/>
        <w:snapToGrid/>
        <w:spacing w:line="360" w:lineRule="auto"/>
        <w:rPr>
          <w:rFonts w:hint="eastAsia" w:ascii="黑体" w:eastAsia="黑体"/>
          <w:szCs w:val="21"/>
          <w:highlight w:val="none"/>
        </w:rPr>
      </w:pPr>
      <w:bookmarkStart w:id="97" w:name="_Toc20037"/>
      <w:bookmarkEnd w:id="97"/>
      <w:bookmarkStart w:id="98" w:name="_Toc21856"/>
      <w:bookmarkEnd w:id="98"/>
      <w:bookmarkStart w:id="99" w:name="_Toc31651"/>
      <w:bookmarkEnd w:id="99"/>
      <w:bookmarkStart w:id="100" w:name="_Toc30851"/>
      <w:bookmarkEnd w:id="100"/>
      <w:bookmarkStart w:id="101" w:name="_Toc15177"/>
      <w:bookmarkEnd w:id="101"/>
      <w:bookmarkStart w:id="102" w:name="_Toc5669"/>
      <w:bookmarkEnd w:id="102"/>
      <w:bookmarkStart w:id="103" w:name="_Toc29692"/>
      <w:bookmarkEnd w:id="103"/>
      <w:bookmarkStart w:id="104" w:name="_Toc9165"/>
      <w:bookmarkEnd w:id="104"/>
      <w:bookmarkStart w:id="105" w:name="_Toc2394"/>
      <w:bookmarkEnd w:id="105"/>
      <w:bookmarkStart w:id="106" w:name="_Toc1140"/>
      <w:bookmarkEnd w:id="106"/>
      <w:bookmarkStart w:id="107" w:name="_Toc15378"/>
      <w:bookmarkEnd w:id="107"/>
      <w:bookmarkStart w:id="108" w:name="_Toc10636"/>
      <w:r>
        <w:rPr>
          <w:rFonts w:hint="eastAsia" w:ascii="黑体" w:eastAsia="黑体"/>
          <w:szCs w:val="21"/>
          <w:highlight w:val="none"/>
        </w:rPr>
        <w:t>经营性停车场（库）</w:t>
      </w:r>
      <w:r>
        <w:rPr>
          <w:rFonts w:hint="eastAsia" w:ascii="黑体" w:eastAsia="黑体"/>
          <w:szCs w:val="21"/>
          <w:highlight w:val="none"/>
          <w:lang w:val="en-US" w:eastAsia="zh-CN"/>
        </w:rPr>
        <w:t>　o</w:t>
      </w:r>
      <w:r>
        <w:rPr>
          <w:rFonts w:hint="eastAsia" w:ascii="黑体" w:eastAsia="黑体"/>
          <w:szCs w:val="21"/>
          <w:highlight w:val="none"/>
        </w:rPr>
        <w:t>perating parking lot（garage）</w:t>
      </w:r>
    </w:p>
    <w:p>
      <w:pPr>
        <w:pStyle w:val="28"/>
        <w:keepLines w:val="0"/>
        <w:kinsoku/>
        <w:wordWrap/>
        <w:overflowPunct/>
        <w:topLinePunct w:val="0"/>
        <w:bidi w:val="0"/>
        <w:adjustRightInd/>
        <w:snapToGrid/>
        <w:spacing w:line="360" w:lineRule="auto"/>
        <w:rPr>
          <w:szCs w:val="22"/>
          <w:highlight w:val="none"/>
        </w:rPr>
      </w:pPr>
      <w:r>
        <w:rPr>
          <w:rFonts w:hint="eastAsia"/>
          <w:szCs w:val="22"/>
          <w:highlight w:val="none"/>
        </w:rPr>
        <w:t>向社会开放，为机动车提供有偿停放服务的停车场（库）。</w:t>
      </w:r>
    </w:p>
    <w:p>
      <w:pPr>
        <w:pStyle w:val="31"/>
        <w:keepLines w:val="0"/>
        <w:kinsoku/>
        <w:wordWrap/>
        <w:overflowPunct/>
        <w:topLinePunct w:val="0"/>
        <w:bidi w:val="0"/>
        <w:adjustRightInd/>
        <w:snapToGrid/>
        <w:spacing w:before="156" w:after="156" w:line="360" w:lineRule="auto"/>
        <w:rPr>
          <w:rFonts w:hint="eastAsia"/>
          <w:highlight w:val="none"/>
        </w:rPr>
      </w:pPr>
    </w:p>
    <w:bookmarkEnd w:id="108"/>
    <w:p>
      <w:pPr>
        <w:pStyle w:val="28"/>
        <w:keepLines w:val="0"/>
        <w:kinsoku/>
        <w:wordWrap/>
        <w:overflowPunct/>
        <w:topLinePunct w:val="0"/>
        <w:bidi w:val="0"/>
        <w:adjustRightInd/>
        <w:snapToGrid/>
        <w:spacing w:line="360" w:lineRule="auto"/>
        <w:rPr>
          <w:rFonts w:ascii="黑体" w:eastAsia="黑体"/>
          <w:szCs w:val="21"/>
          <w:highlight w:val="none"/>
        </w:rPr>
      </w:pPr>
      <w:bookmarkStart w:id="109" w:name="_Toc10692"/>
      <w:bookmarkEnd w:id="109"/>
      <w:bookmarkStart w:id="110" w:name="_Toc19534"/>
      <w:bookmarkEnd w:id="110"/>
      <w:bookmarkStart w:id="111" w:name="_Toc13732"/>
      <w:bookmarkEnd w:id="111"/>
      <w:bookmarkStart w:id="112" w:name="_Toc22081"/>
      <w:bookmarkEnd w:id="112"/>
      <w:bookmarkStart w:id="113" w:name="_Toc26074"/>
      <w:bookmarkEnd w:id="113"/>
      <w:r>
        <w:rPr>
          <w:rFonts w:hint="eastAsia" w:ascii="黑体" w:eastAsia="黑体"/>
          <w:szCs w:val="21"/>
          <w:highlight w:val="none"/>
        </w:rPr>
        <w:t>配建停车场（库）</w:t>
      </w:r>
      <w:r>
        <w:rPr>
          <w:rFonts w:hint="eastAsia" w:ascii="黑体" w:eastAsia="黑体"/>
          <w:szCs w:val="21"/>
          <w:highlight w:val="none"/>
          <w:lang w:val="en-US" w:eastAsia="zh-CN"/>
        </w:rPr>
        <w:t>　b</w:t>
      </w:r>
      <w:r>
        <w:rPr>
          <w:rFonts w:hint="eastAsia" w:ascii="黑体" w:eastAsia="黑体"/>
          <w:szCs w:val="21"/>
          <w:highlight w:val="none"/>
        </w:rPr>
        <w:t>uilding parking lot（garage）</w:t>
      </w:r>
    </w:p>
    <w:p>
      <w:pPr>
        <w:pStyle w:val="28"/>
        <w:keepLines w:val="0"/>
        <w:kinsoku/>
        <w:wordWrap/>
        <w:overflowPunct/>
        <w:topLinePunct w:val="0"/>
        <w:bidi w:val="0"/>
        <w:adjustRightInd/>
        <w:snapToGrid/>
        <w:spacing w:line="360" w:lineRule="auto"/>
        <w:rPr>
          <w:rFonts w:hint="eastAsia"/>
          <w:highlight w:val="none"/>
        </w:rPr>
      </w:pPr>
      <w:r>
        <w:rPr>
          <w:rFonts w:hint="eastAsia"/>
          <w:highlight w:val="none"/>
        </w:rPr>
        <w:t>依据建筑物配建停</w:t>
      </w:r>
      <w:r>
        <w:rPr>
          <w:rFonts w:hint="eastAsia"/>
          <w:highlight w:val="none"/>
          <w:lang w:eastAsia="zh-CN"/>
        </w:rPr>
        <w:t>车（泊）位</w:t>
      </w:r>
      <w:r>
        <w:rPr>
          <w:rFonts w:hint="eastAsia"/>
          <w:highlight w:val="none"/>
        </w:rPr>
        <w:t>指标所附设的面向本建筑物使用者和公众服务的供机动车停放的停车场（库）。</w:t>
      </w:r>
    </w:p>
    <w:p>
      <w:pPr>
        <w:pStyle w:val="31"/>
        <w:keepLines w:val="0"/>
        <w:kinsoku/>
        <w:wordWrap/>
        <w:overflowPunct/>
        <w:topLinePunct w:val="0"/>
        <w:bidi w:val="0"/>
        <w:adjustRightInd/>
        <w:snapToGrid/>
        <w:spacing w:before="156" w:after="156" w:line="360" w:lineRule="auto"/>
        <w:rPr>
          <w:rFonts w:hint="eastAsia"/>
          <w:highlight w:val="none"/>
        </w:rPr>
      </w:pPr>
    </w:p>
    <w:p>
      <w:pPr>
        <w:pStyle w:val="28"/>
        <w:keepLines w:val="0"/>
        <w:kinsoku/>
        <w:wordWrap/>
        <w:overflowPunct/>
        <w:topLinePunct w:val="0"/>
        <w:bidi w:val="0"/>
        <w:adjustRightInd/>
        <w:snapToGrid/>
        <w:spacing w:line="360" w:lineRule="auto"/>
        <w:rPr>
          <w:rFonts w:hint="eastAsia" w:ascii="黑体" w:eastAsia="黑体"/>
          <w:szCs w:val="21"/>
          <w:highlight w:val="none"/>
        </w:rPr>
      </w:pPr>
      <w:r>
        <w:rPr>
          <w:rFonts w:hint="eastAsia" w:ascii="黑体" w:eastAsia="黑体"/>
          <w:szCs w:val="21"/>
          <w:highlight w:val="none"/>
          <w:lang w:eastAsia="zh-CN"/>
        </w:rPr>
        <w:t>停车场（</w:t>
      </w:r>
      <w:r>
        <w:rPr>
          <w:rFonts w:hint="eastAsia" w:ascii="黑体" w:eastAsia="黑体"/>
          <w:szCs w:val="21"/>
          <w:highlight w:val="none"/>
          <w:lang w:val="en-US" w:eastAsia="zh-CN"/>
        </w:rPr>
        <w:t>库</w:t>
      </w:r>
      <w:r>
        <w:rPr>
          <w:rFonts w:hint="eastAsia" w:ascii="黑体" w:eastAsia="黑体"/>
          <w:szCs w:val="21"/>
          <w:highlight w:val="none"/>
          <w:lang w:eastAsia="zh-CN"/>
        </w:rPr>
        <w:t>）</w:t>
      </w:r>
      <w:r>
        <w:rPr>
          <w:rFonts w:hint="eastAsia" w:ascii="黑体" w:eastAsia="黑体"/>
          <w:szCs w:val="21"/>
          <w:highlight w:val="none"/>
          <w:lang w:val="en-US" w:eastAsia="zh-CN"/>
        </w:rPr>
        <w:t>信息</w:t>
      </w:r>
      <w:r>
        <w:rPr>
          <w:rFonts w:hint="eastAsia" w:ascii="黑体" w:eastAsia="黑体"/>
          <w:szCs w:val="21"/>
          <w:highlight w:val="none"/>
          <w:lang w:eastAsia="zh-CN"/>
        </w:rPr>
        <w:t>管理系统　</w:t>
      </w:r>
      <w:r>
        <w:rPr>
          <w:rFonts w:hint="eastAsia" w:ascii="黑体" w:eastAsia="黑体"/>
          <w:szCs w:val="21"/>
          <w:highlight w:val="none"/>
          <w:lang w:val="en-US" w:eastAsia="zh-CN"/>
        </w:rPr>
        <w:t>information management system</w:t>
      </w:r>
      <w:r>
        <w:rPr>
          <w:rFonts w:hint="eastAsia"/>
          <w:lang w:val="en-US" w:eastAsia="zh-CN"/>
        </w:rPr>
        <w:t xml:space="preserve"> of </w:t>
      </w:r>
      <w:r>
        <w:rPr>
          <w:rFonts w:hint="eastAsia" w:ascii="黑体" w:eastAsia="黑体"/>
          <w:szCs w:val="21"/>
          <w:highlight w:val="none"/>
          <w:lang w:val="en-US" w:eastAsia="zh-CN"/>
        </w:rPr>
        <w:t>p</w:t>
      </w:r>
      <w:r>
        <w:rPr>
          <w:rFonts w:hint="eastAsia" w:ascii="黑体" w:eastAsia="黑体"/>
          <w:szCs w:val="21"/>
          <w:highlight w:val="none"/>
        </w:rPr>
        <w:t>arking lot（garage）</w:t>
      </w:r>
    </w:p>
    <w:p>
      <w:pPr>
        <w:pStyle w:val="28"/>
        <w:keepLines w:val="0"/>
        <w:kinsoku/>
        <w:wordWrap/>
        <w:overflowPunct/>
        <w:topLinePunct w:val="0"/>
        <w:bidi w:val="0"/>
        <w:adjustRightInd/>
        <w:snapToGrid/>
        <w:spacing w:line="360" w:lineRule="auto"/>
        <w:rPr>
          <w:rFonts w:hint="eastAsia" w:ascii="黑体" w:eastAsia="黑体"/>
          <w:szCs w:val="21"/>
          <w:highlight w:val="none"/>
        </w:rPr>
      </w:pPr>
      <w:r>
        <w:rPr>
          <w:rFonts w:hint="eastAsia" w:hAnsi="宋体" w:cs="宋体"/>
          <w:szCs w:val="21"/>
          <w:highlight w:val="none"/>
          <w:lang w:val="en-US" w:eastAsia="zh-CN"/>
        </w:rPr>
        <w:t>各停车场自行采购或建设的停车场信息管理系统，按照辽宁ETC发行机构统一标准要求采集、传输车场（库）内信息，并将信息上传到停车场接入服务平台，停车场（库）信息管理系统对接入与上传信息需保证实时、准确和有效。</w:t>
      </w:r>
    </w:p>
    <w:p>
      <w:pPr>
        <w:pStyle w:val="31"/>
        <w:keepLines w:val="0"/>
        <w:kinsoku/>
        <w:wordWrap/>
        <w:overflowPunct/>
        <w:topLinePunct w:val="0"/>
        <w:bidi w:val="0"/>
        <w:adjustRightInd/>
        <w:snapToGrid/>
        <w:spacing w:before="156" w:after="156" w:line="360" w:lineRule="auto"/>
        <w:rPr>
          <w:rFonts w:hint="eastAsia"/>
          <w:highlight w:val="none"/>
        </w:rPr>
      </w:pPr>
    </w:p>
    <w:p>
      <w:pPr>
        <w:pStyle w:val="28"/>
        <w:keepLines w:val="0"/>
        <w:kinsoku/>
        <w:wordWrap/>
        <w:overflowPunct/>
        <w:topLinePunct w:val="0"/>
        <w:bidi w:val="0"/>
        <w:adjustRightInd/>
        <w:snapToGrid/>
        <w:spacing w:line="360" w:lineRule="auto"/>
        <w:rPr>
          <w:rFonts w:ascii="黑体" w:eastAsia="黑体"/>
          <w:szCs w:val="21"/>
          <w:highlight w:val="none"/>
        </w:rPr>
      </w:pPr>
      <w:bookmarkStart w:id="114" w:name="_Toc15131"/>
      <w:bookmarkEnd w:id="114"/>
      <w:bookmarkStart w:id="115" w:name="_Toc27647"/>
      <w:bookmarkEnd w:id="115"/>
      <w:bookmarkStart w:id="116" w:name="_Toc23932"/>
      <w:bookmarkEnd w:id="116"/>
      <w:bookmarkStart w:id="117" w:name="_Toc8724"/>
      <w:bookmarkEnd w:id="117"/>
      <w:bookmarkStart w:id="118" w:name="_Toc12882"/>
      <w:bookmarkEnd w:id="118"/>
      <w:bookmarkStart w:id="119" w:name="_Toc9409"/>
      <w:bookmarkEnd w:id="119"/>
      <w:bookmarkStart w:id="120" w:name="_Toc13331"/>
      <w:bookmarkEnd w:id="120"/>
      <w:bookmarkStart w:id="121" w:name="_Toc18086"/>
      <w:bookmarkEnd w:id="121"/>
      <w:bookmarkStart w:id="122" w:name="_Toc10572"/>
      <w:bookmarkEnd w:id="122"/>
      <w:bookmarkStart w:id="123" w:name="_Toc25663"/>
      <w:bookmarkEnd w:id="123"/>
      <w:bookmarkStart w:id="124" w:name="_Toc10440"/>
      <w:bookmarkEnd w:id="124"/>
      <w:r>
        <w:rPr>
          <w:rFonts w:hint="eastAsia" w:ascii="黑体" w:eastAsia="黑体"/>
          <w:szCs w:val="21"/>
          <w:highlight w:val="none"/>
        </w:rPr>
        <w:t>停车场（库）</w:t>
      </w:r>
      <w:r>
        <w:rPr>
          <w:rFonts w:hint="eastAsia" w:ascii="黑体" w:eastAsia="黑体"/>
          <w:szCs w:val="21"/>
          <w:highlight w:val="none"/>
          <w:lang w:eastAsia="zh-CN"/>
        </w:rPr>
        <w:t>　</w:t>
      </w:r>
      <w:r>
        <w:rPr>
          <w:rFonts w:hint="eastAsia" w:ascii="黑体" w:eastAsia="黑体"/>
          <w:szCs w:val="21"/>
          <w:highlight w:val="none"/>
          <w:lang w:val="en-US" w:eastAsia="zh-CN"/>
        </w:rPr>
        <w:t>p</w:t>
      </w:r>
      <w:r>
        <w:rPr>
          <w:rFonts w:hint="eastAsia" w:ascii="黑体" w:eastAsia="黑体"/>
          <w:szCs w:val="21"/>
          <w:highlight w:val="none"/>
        </w:rPr>
        <w:t>arking lot（garage）</w:t>
      </w:r>
    </w:p>
    <w:p>
      <w:pPr>
        <w:pStyle w:val="28"/>
        <w:keepLines w:val="0"/>
        <w:kinsoku/>
        <w:wordWrap/>
        <w:overflowPunct/>
        <w:topLinePunct w:val="0"/>
        <w:bidi w:val="0"/>
        <w:adjustRightInd/>
        <w:snapToGrid/>
        <w:spacing w:line="360" w:lineRule="auto"/>
        <w:rPr>
          <w:rFonts w:hint="eastAsia"/>
          <w:highlight w:val="none"/>
        </w:rPr>
      </w:pPr>
      <w:r>
        <w:rPr>
          <w:rFonts w:hint="eastAsia"/>
          <w:szCs w:val="22"/>
          <w:highlight w:val="none"/>
        </w:rPr>
        <w:t>供机动车停放的场所及地上、地下构筑物。一般由出入口、停</w:t>
      </w:r>
      <w:r>
        <w:rPr>
          <w:rFonts w:hint="eastAsia"/>
          <w:szCs w:val="22"/>
          <w:highlight w:val="none"/>
          <w:lang w:eastAsia="zh-CN"/>
        </w:rPr>
        <w:t>车（泊）位</w:t>
      </w:r>
      <w:r>
        <w:rPr>
          <w:rFonts w:hint="eastAsia"/>
          <w:szCs w:val="22"/>
          <w:highlight w:val="none"/>
        </w:rPr>
        <w:t>、通道及附属设施组成。</w:t>
      </w:r>
    </w:p>
    <w:p>
      <w:pPr>
        <w:pStyle w:val="31"/>
        <w:keepLines w:val="0"/>
        <w:kinsoku/>
        <w:wordWrap/>
        <w:overflowPunct/>
        <w:topLinePunct w:val="0"/>
        <w:bidi w:val="0"/>
        <w:adjustRightInd/>
        <w:snapToGrid/>
        <w:spacing w:before="156" w:after="156" w:line="360" w:lineRule="auto"/>
        <w:rPr>
          <w:rFonts w:hint="eastAsia"/>
          <w:highlight w:val="none"/>
        </w:rPr>
      </w:pPr>
    </w:p>
    <w:p>
      <w:pPr>
        <w:pStyle w:val="28"/>
        <w:keepLines w:val="0"/>
        <w:kinsoku/>
        <w:wordWrap/>
        <w:overflowPunct/>
        <w:topLinePunct w:val="0"/>
        <w:bidi w:val="0"/>
        <w:adjustRightInd/>
        <w:snapToGrid/>
        <w:spacing w:line="360" w:lineRule="auto"/>
        <w:rPr>
          <w:rFonts w:ascii="黑体" w:eastAsia="黑体"/>
          <w:szCs w:val="21"/>
          <w:highlight w:val="none"/>
        </w:rPr>
      </w:pPr>
      <w:r>
        <w:rPr>
          <w:rFonts w:hint="eastAsia" w:ascii="黑体" w:eastAsia="黑体"/>
          <w:szCs w:val="21"/>
          <w:highlight w:val="none"/>
        </w:rPr>
        <w:t>停车场（库）</w:t>
      </w:r>
      <w:r>
        <w:rPr>
          <w:rFonts w:hint="eastAsia" w:ascii="黑体" w:eastAsia="黑体"/>
          <w:szCs w:val="21"/>
          <w:highlight w:val="none"/>
          <w:lang w:val="en-US" w:eastAsia="zh-CN"/>
        </w:rPr>
        <w:t>服务商　o</w:t>
      </w:r>
      <w:r>
        <w:rPr>
          <w:rFonts w:hint="eastAsia" w:ascii="黑体" w:eastAsia="黑体"/>
          <w:szCs w:val="21"/>
          <w:highlight w:val="none"/>
        </w:rPr>
        <w:t>perators of parking lot（garage）</w:t>
      </w:r>
    </w:p>
    <w:p>
      <w:pPr>
        <w:pStyle w:val="28"/>
        <w:keepLines w:val="0"/>
        <w:kinsoku/>
        <w:wordWrap/>
        <w:overflowPunct/>
        <w:topLinePunct w:val="0"/>
        <w:bidi w:val="0"/>
        <w:adjustRightInd/>
        <w:snapToGrid/>
        <w:spacing w:line="360" w:lineRule="auto"/>
        <w:rPr>
          <w:rFonts w:hint="eastAsia"/>
          <w:highlight w:val="none"/>
        </w:rPr>
      </w:pPr>
      <w:r>
        <w:rPr>
          <w:rFonts w:hint="eastAsia"/>
          <w:szCs w:val="21"/>
          <w:highlight w:val="none"/>
          <w:lang w:val="en-US" w:eastAsia="zh-CN"/>
        </w:rPr>
        <w:t>自主或接受委托经营停车场（库）的经营者。</w:t>
      </w:r>
    </w:p>
    <w:p>
      <w:pPr>
        <w:pStyle w:val="31"/>
        <w:keepLines w:val="0"/>
        <w:kinsoku/>
        <w:wordWrap/>
        <w:overflowPunct/>
        <w:topLinePunct w:val="0"/>
        <w:bidi w:val="0"/>
        <w:adjustRightInd/>
        <w:snapToGrid/>
        <w:spacing w:before="156" w:after="156" w:line="360" w:lineRule="auto"/>
        <w:rPr>
          <w:rFonts w:hint="eastAsia"/>
          <w:highlight w:val="none"/>
        </w:rPr>
      </w:pPr>
      <w:bookmarkStart w:id="125" w:name="_Toc19071"/>
      <w:bookmarkEnd w:id="125"/>
      <w:bookmarkStart w:id="126" w:name="_Toc32413"/>
      <w:bookmarkEnd w:id="126"/>
      <w:bookmarkStart w:id="127" w:name="_Toc16076"/>
      <w:bookmarkEnd w:id="127"/>
      <w:bookmarkStart w:id="128" w:name="_Toc31347"/>
      <w:bookmarkEnd w:id="128"/>
      <w:bookmarkStart w:id="129" w:name="_Toc10346"/>
      <w:bookmarkEnd w:id="129"/>
      <w:bookmarkStart w:id="130" w:name="_Toc23152"/>
      <w:bookmarkEnd w:id="130"/>
      <w:bookmarkStart w:id="131" w:name="_Toc12627"/>
      <w:bookmarkEnd w:id="131"/>
      <w:bookmarkStart w:id="132" w:name="_Toc28237"/>
      <w:bookmarkEnd w:id="132"/>
      <w:bookmarkStart w:id="133" w:name="_Toc3398"/>
      <w:bookmarkEnd w:id="133"/>
      <w:bookmarkStart w:id="134" w:name="_Toc13164"/>
      <w:bookmarkEnd w:id="134"/>
    </w:p>
    <w:p>
      <w:pPr>
        <w:pStyle w:val="28"/>
        <w:keepLines w:val="0"/>
        <w:kinsoku/>
        <w:wordWrap/>
        <w:overflowPunct/>
        <w:topLinePunct w:val="0"/>
        <w:bidi w:val="0"/>
        <w:adjustRightInd/>
        <w:snapToGrid/>
        <w:spacing w:line="360" w:lineRule="auto"/>
        <w:ind w:left="0" w:leftChars="0" w:firstLine="420" w:firstLineChars="200"/>
        <w:rPr>
          <w:rFonts w:hint="eastAsia" w:ascii="黑体" w:eastAsia="黑体"/>
          <w:szCs w:val="21"/>
          <w:highlight w:val="none"/>
        </w:rPr>
      </w:pPr>
      <w:r>
        <w:rPr>
          <w:rFonts w:hint="eastAsia" w:ascii="黑体" w:eastAsia="黑体"/>
          <w:szCs w:val="21"/>
          <w:highlight w:val="none"/>
          <w:lang w:eastAsia="zh-CN"/>
        </w:rPr>
        <w:t>智慧停车　</w:t>
      </w:r>
      <w:r>
        <w:rPr>
          <w:rFonts w:hint="eastAsia" w:ascii="黑体" w:eastAsia="黑体"/>
          <w:szCs w:val="21"/>
          <w:highlight w:val="none"/>
          <w:lang w:val="en-US" w:eastAsia="zh-CN"/>
        </w:rPr>
        <w:t>smart parking</w:t>
      </w:r>
    </w:p>
    <w:p>
      <w:pPr>
        <w:pStyle w:val="28"/>
        <w:keepLines w:val="0"/>
        <w:kinsoku/>
        <w:wordWrap/>
        <w:overflowPunct/>
        <w:topLinePunct w:val="0"/>
        <w:bidi w:val="0"/>
        <w:adjustRightInd/>
        <w:snapToGrid/>
        <w:spacing w:line="360" w:lineRule="auto"/>
        <w:rPr>
          <w:rFonts w:hint="eastAsia" w:hAnsi="宋体" w:cs="宋体"/>
          <w:szCs w:val="21"/>
          <w:highlight w:val="none"/>
          <w:lang w:val="en-US" w:eastAsia="zh-CN"/>
        </w:rPr>
      </w:pPr>
      <w:r>
        <w:rPr>
          <w:rFonts w:hint="eastAsia" w:hAnsi="宋体" w:cs="宋体"/>
          <w:szCs w:val="21"/>
          <w:highlight w:val="none"/>
          <w:lang w:val="en-US" w:eastAsia="zh-CN"/>
        </w:rPr>
        <w:t>运用物联网、云计算及大数据等新一代信息技术，促进停车规划、建设、管理和服务智慧化的新概念、新模式和新形态。</w:t>
      </w:r>
    </w:p>
    <w:p>
      <w:pPr>
        <w:pStyle w:val="31"/>
        <w:keepLines w:val="0"/>
        <w:kinsoku/>
        <w:wordWrap/>
        <w:overflowPunct/>
        <w:topLinePunct w:val="0"/>
        <w:bidi w:val="0"/>
        <w:adjustRightInd/>
        <w:snapToGrid/>
        <w:spacing w:before="156" w:after="156" w:line="360" w:lineRule="auto"/>
        <w:rPr>
          <w:rFonts w:hint="eastAsia"/>
          <w:highlight w:val="none"/>
        </w:rPr>
      </w:pPr>
    </w:p>
    <w:p>
      <w:pPr>
        <w:pStyle w:val="28"/>
        <w:keepLines w:val="0"/>
        <w:kinsoku/>
        <w:wordWrap/>
        <w:overflowPunct/>
        <w:topLinePunct w:val="0"/>
        <w:bidi w:val="0"/>
        <w:adjustRightInd/>
        <w:snapToGrid/>
        <w:spacing w:line="360" w:lineRule="auto"/>
        <w:ind w:left="0" w:leftChars="0" w:firstLine="420" w:firstLineChars="200"/>
        <w:rPr>
          <w:rFonts w:hint="default" w:ascii="黑体" w:eastAsia="黑体"/>
          <w:szCs w:val="21"/>
          <w:highlight w:val="none"/>
          <w:lang w:val="en-US"/>
        </w:rPr>
      </w:pPr>
      <w:r>
        <w:rPr>
          <w:rFonts w:hint="eastAsia" w:ascii="黑体" w:eastAsia="黑体"/>
          <w:szCs w:val="21"/>
          <w:highlight w:val="none"/>
          <w:lang w:val="en-US" w:eastAsia="zh-CN"/>
        </w:rPr>
        <w:t>ETC</w:t>
      </w:r>
      <w:r>
        <w:rPr>
          <w:rFonts w:hint="eastAsia" w:ascii="黑体" w:eastAsia="黑体"/>
          <w:szCs w:val="21"/>
          <w:highlight w:val="none"/>
          <w:lang w:eastAsia="zh-CN"/>
        </w:rPr>
        <w:t>智慧停车</w:t>
      </w:r>
      <w:r>
        <w:rPr>
          <w:rFonts w:hint="eastAsia" w:ascii="黑体" w:eastAsia="黑体"/>
          <w:szCs w:val="21"/>
          <w:highlight w:val="none"/>
          <w:lang w:val="en-US" w:eastAsia="zh-CN"/>
        </w:rPr>
        <w:t>场</w:t>
      </w:r>
      <w:r>
        <w:rPr>
          <w:rFonts w:hint="eastAsia" w:ascii="黑体" w:eastAsia="黑体"/>
          <w:szCs w:val="21"/>
          <w:highlight w:val="none"/>
          <w:lang w:eastAsia="zh-CN"/>
        </w:rPr>
        <w:t>　</w:t>
      </w:r>
      <w:r>
        <w:rPr>
          <w:rFonts w:hint="eastAsia" w:ascii="黑体" w:eastAsia="黑体"/>
          <w:szCs w:val="21"/>
          <w:highlight w:val="none"/>
          <w:lang w:val="en-US" w:eastAsia="zh-CN"/>
        </w:rPr>
        <w:t>ETC smart parking lot</w:t>
      </w:r>
    </w:p>
    <w:p>
      <w:pPr>
        <w:pStyle w:val="28"/>
        <w:keepLines w:val="0"/>
        <w:kinsoku/>
        <w:wordWrap/>
        <w:overflowPunct/>
        <w:topLinePunct w:val="0"/>
        <w:bidi w:val="0"/>
        <w:adjustRightInd/>
        <w:snapToGrid/>
        <w:spacing w:line="360" w:lineRule="auto"/>
        <w:rPr>
          <w:rFonts w:hint="default" w:hAnsi="宋体" w:cs="宋体"/>
          <w:szCs w:val="21"/>
          <w:highlight w:val="none"/>
          <w:lang w:val="en-US" w:eastAsia="zh-CN"/>
        </w:rPr>
      </w:pPr>
      <w:r>
        <w:rPr>
          <w:rFonts w:hint="eastAsia" w:hAnsi="宋体" w:cs="宋体"/>
          <w:szCs w:val="21"/>
          <w:highlight w:val="none"/>
          <w:lang w:val="en-US" w:eastAsia="zh-CN"/>
        </w:rPr>
        <w:t>包含使用ETC智慧停车的停车场和停车库。</w:t>
      </w:r>
    </w:p>
    <w:p>
      <w:pPr>
        <w:pStyle w:val="30"/>
        <w:keepLines w:val="0"/>
        <w:kinsoku/>
        <w:wordWrap/>
        <w:overflowPunct/>
        <w:topLinePunct w:val="0"/>
        <w:bidi w:val="0"/>
        <w:adjustRightInd/>
        <w:snapToGrid/>
        <w:spacing w:before="312" w:after="312" w:line="360" w:lineRule="auto"/>
        <w:rPr>
          <w:rFonts w:hint="eastAsia"/>
          <w:szCs w:val="21"/>
          <w:lang w:val="en-US" w:eastAsia="zh-CN"/>
        </w:rPr>
      </w:pPr>
      <w:bookmarkStart w:id="135" w:name="_Toc7263"/>
      <w:r>
        <w:rPr>
          <w:rFonts w:hint="eastAsia"/>
          <w:szCs w:val="21"/>
          <w:lang w:val="en-US" w:eastAsia="zh-CN"/>
        </w:rPr>
        <w:t>缩略语</w:t>
      </w:r>
      <w:bookmarkEnd w:id="135"/>
    </w:p>
    <w:p>
      <w:pPr>
        <w:pStyle w:val="28"/>
        <w:keepLines w:val="0"/>
        <w:kinsoku/>
        <w:wordWrap/>
        <w:overflowPunct/>
        <w:topLinePunct w:val="0"/>
        <w:bidi w:val="0"/>
        <w:adjustRightInd/>
        <w:snapToGrid/>
        <w:spacing w:line="360" w:lineRule="auto"/>
        <w:rPr>
          <w:rFonts w:hint="eastAsia"/>
          <w:lang w:val="en-US" w:eastAsia="zh-CN"/>
        </w:rPr>
      </w:pPr>
      <w:r>
        <w:rPr>
          <w:rFonts w:hint="eastAsia"/>
          <w:lang w:val="en-US" w:eastAsia="zh-CN"/>
        </w:rPr>
        <w:t>下列缩略语适用于本文件。</w:t>
      </w:r>
    </w:p>
    <w:p>
      <w:pPr>
        <w:pStyle w:val="28"/>
        <w:keepLines w:val="0"/>
        <w:kinsoku/>
        <w:wordWrap/>
        <w:overflowPunct/>
        <w:topLinePunct w:val="0"/>
        <w:bidi w:val="0"/>
        <w:adjustRightInd/>
        <w:snapToGrid/>
        <w:spacing w:line="360" w:lineRule="auto"/>
        <w:rPr>
          <w:rFonts w:hint="default" w:hAnsi="宋体" w:cs="宋体"/>
          <w:kern w:val="2"/>
          <w:szCs w:val="21"/>
          <w:lang w:val="en-US" w:eastAsia="zh-CN"/>
        </w:rPr>
      </w:pPr>
      <w:r>
        <w:rPr>
          <w:rFonts w:hint="default" w:hAnsi="宋体" w:cs="宋体"/>
          <w:kern w:val="2"/>
          <w:szCs w:val="21"/>
          <w:lang w:val="en-US" w:eastAsia="zh-CN"/>
        </w:rPr>
        <w:t>ETC：</w:t>
      </w:r>
      <w:r>
        <w:rPr>
          <w:rFonts w:hint="eastAsia" w:hAnsi="宋体" w:cs="宋体"/>
          <w:kern w:val="2"/>
          <w:szCs w:val="21"/>
          <w:lang w:val="en-US" w:eastAsia="zh-CN"/>
        </w:rPr>
        <w:t>电子不停车收费</w:t>
      </w:r>
      <w:r>
        <w:rPr>
          <w:rFonts w:hint="default" w:hAnsi="宋体" w:cs="宋体"/>
          <w:kern w:val="2"/>
          <w:szCs w:val="21"/>
          <w:lang w:val="en-US" w:eastAsia="zh-CN"/>
        </w:rPr>
        <w:t>系统（Electronic Toll Collection）</w:t>
      </w:r>
    </w:p>
    <w:p>
      <w:pPr>
        <w:pStyle w:val="28"/>
        <w:keepLines w:val="0"/>
        <w:kinsoku/>
        <w:wordWrap/>
        <w:overflowPunct/>
        <w:topLinePunct w:val="0"/>
        <w:bidi w:val="0"/>
        <w:adjustRightInd/>
        <w:snapToGrid/>
        <w:spacing w:line="360" w:lineRule="auto"/>
        <w:rPr>
          <w:rFonts w:hint="default" w:hAnsi="宋体" w:cs="宋体"/>
          <w:kern w:val="2"/>
          <w:szCs w:val="21"/>
          <w:lang w:val="en-US" w:eastAsia="zh-CN"/>
        </w:rPr>
      </w:pPr>
      <w:r>
        <w:rPr>
          <w:rFonts w:hint="eastAsia" w:hAnsi="宋体" w:cs="宋体"/>
          <w:kern w:val="2"/>
          <w:szCs w:val="21"/>
          <w:lang w:val="en-US" w:eastAsia="zh-CN"/>
        </w:rPr>
        <w:t>VI</w:t>
      </w:r>
      <w:r>
        <w:rPr>
          <w:rFonts w:hint="eastAsia" w:hAnsi="宋体" w:cs="宋体"/>
          <w:kern w:val="2"/>
          <w:szCs w:val="21"/>
          <w:lang w:eastAsia="zh-CN"/>
        </w:rPr>
        <w:t>：</w:t>
      </w:r>
      <w:r>
        <w:rPr>
          <w:rFonts w:hint="eastAsia" w:hAnsi="宋体" w:cs="宋体"/>
          <w:kern w:val="2"/>
          <w:szCs w:val="21"/>
        </w:rPr>
        <w:t>视觉识别系统</w:t>
      </w:r>
      <w:r>
        <w:rPr>
          <w:rFonts w:hint="eastAsia" w:hAnsi="宋体" w:cs="宋体"/>
          <w:kern w:val="2"/>
          <w:szCs w:val="21"/>
          <w:lang w:eastAsia="zh-CN"/>
        </w:rPr>
        <w:t>（</w:t>
      </w:r>
      <w:r>
        <w:rPr>
          <w:rFonts w:hint="eastAsia" w:hAnsi="宋体" w:cs="宋体"/>
          <w:kern w:val="2"/>
          <w:szCs w:val="21"/>
          <w:lang w:val="en-US" w:eastAsia="zh-CN"/>
        </w:rPr>
        <w:t>V</w:t>
      </w:r>
      <w:r>
        <w:rPr>
          <w:rFonts w:hint="eastAsia" w:hAnsi="宋体" w:cs="宋体"/>
          <w:kern w:val="2"/>
          <w:szCs w:val="21"/>
        </w:rPr>
        <w:t xml:space="preserve">isual </w:t>
      </w:r>
      <w:r>
        <w:rPr>
          <w:rFonts w:hint="eastAsia" w:hAnsi="宋体" w:cs="宋体"/>
          <w:kern w:val="2"/>
          <w:szCs w:val="21"/>
          <w:lang w:val="en-US" w:eastAsia="zh-CN"/>
        </w:rPr>
        <w:t>I</w:t>
      </w:r>
      <w:r>
        <w:rPr>
          <w:rFonts w:hint="eastAsia" w:hAnsi="宋体" w:cs="宋体"/>
          <w:kern w:val="2"/>
          <w:szCs w:val="21"/>
        </w:rPr>
        <w:t>dentity</w:t>
      </w:r>
      <w:r>
        <w:rPr>
          <w:rFonts w:hint="eastAsia" w:hAnsi="宋体" w:cs="宋体"/>
          <w:kern w:val="2"/>
          <w:szCs w:val="21"/>
          <w:lang w:eastAsia="zh-CN"/>
        </w:rPr>
        <w:t>）</w:t>
      </w:r>
    </w:p>
    <w:p>
      <w:pPr>
        <w:pStyle w:val="30"/>
        <w:keepLines w:val="0"/>
        <w:kinsoku/>
        <w:wordWrap/>
        <w:overflowPunct/>
        <w:topLinePunct w:val="0"/>
        <w:bidi w:val="0"/>
        <w:adjustRightInd/>
        <w:snapToGrid/>
        <w:spacing w:before="312" w:after="312" w:line="360" w:lineRule="auto"/>
        <w:rPr>
          <w:rFonts w:hint="eastAsia"/>
        </w:rPr>
      </w:pPr>
      <w:bookmarkStart w:id="136" w:name="_Toc19663"/>
      <w:r>
        <w:rPr>
          <w:rFonts w:hint="eastAsia"/>
          <w:lang w:val="en-US" w:eastAsia="zh-CN"/>
        </w:rPr>
        <w:t>停车场（库）分类</w:t>
      </w:r>
      <w:bookmarkEnd w:id="136"/>
    </w:p>
    <w:p>
      <w:pPr>
        <w:pStyle w:val="28"/>
        <w:keepLines w:val="0"/>
        <w:kinsoku/>
        <w:wordWrap/>
        <w:overflowPunct/>
        <w:topLinePunct w:val="0"/>
        <w:bidi w:val="0"/>
        <w:adjustRightInd/>
        <w:snapToGrid/>
        <w:spacing w:line="360" w:lineRule="auto"/>
        <w:rPr>
          <w:rFonts w:hint="default"/>
          <w:lang w:val="en-US"/>
        </w:rPr>
      </w:pPr>
      <w:r>
        <w:rPr>
          <w:rFonts w:hint="eastAsia"/>
          <w:lang w:val="en-US" w:eastAsia="zh-CN"/>
        </w:rPr>
        <w:t>停车场（库）分类如下：</w:t>
      </w:r>
    </w:p>
    <w:p>
      <w:pPr>
        <w:pStyle w:val="28"/>
        <w:keepLines w:val="0"/>
        <w:numPr>
          <w:ilvl w:val="0"/>
          <w:numId w:val="2"/>
        </w:numPr>
        <w:kinsoku/>
        <w:wordWrap/>
        <w:overflowPunct/>
        <w:topLinePunct w:val="0"/>
        <w:bidi w:val="0"/>
        <w:adjustRightInd/>
        <w:snapToGrid/>
        <w:spacing w:line="360" w:lineRule="auto"/>
        <w:ind w:firstLine="420" w:firstLineChars="200"/>
        <w:rPr>
          <w:rFonts w:hint="eastAsia"/>
          <w:szCs w:val="22"/>
          <w:lang w:val="en-US" w:eastAsia="zh-CN"/>
        </w:rPr>
      </w:pPr>
      <w:r>
        <w:rPr>
          <w:rFonts w:hint="eastAsia"/>
          <w:szCs w:val="22"/>
          <w:lang w:val="en-US" w:eastAsia="zh-CN"/>
        </w:rPr>
        <w:t>停车场（库）按规划管理方式划分为公共停车场（库）和配建停车场（库）；</w:t>
      </w:r>
    </w:p>
    <w:p>
      <w:pPr>
        <w:pStyle w:val="28"/>
        <w:keepLines w:val="0"/>
        <w:numPr>
          <w:ilvl w:val="0"/>
          <w:numId w:val="2"/>
        </w:numPr>
        <w:kinsoku/>
        <w:wordWrap/>
        <w:overflowPunct/>
        <w:topLinePunct w:val="0"/>
        <w:bidi w:val="0"/>
        <w:adjustRightInd/>
        <w:snapToGrid/>
        <w:spacing w:line="360" w:lineRule="auto"/>
        <w:ind w:firstLine="420" w:firstLineChars="200"/>
        <w:rPr>
          <w:rFonts w:hint="eastAsia"/>
          <w:szCs w:val="22"/>
          <w:lang w:val="en-US" w:eastAsia="zh-CN"/>
        </w:rPr>
      </w:pPr>
      <w:r>
        <w:rPr>
          <w:rFonts w:hint="eastAsia"/>
          <w:szCs w:val="22"/>
          <w:lang w:val="en-US" w:eastAsia="zh-CN"/>
        </w:rPr>
        <w:t>停车场（库）按建设位置划分为路外停车场（库）和路内停车（泊）位。路外停车场包括公共停车场（库）和配建停车场（库）；</w:t>
      </w:r>
    </w:p>
    <w:p>
      <w:pPr>
        <w:pStyle w:val="28"/>
        <w:keepLines w:val="0"/>
        <w:numPr>
          <w:ilvl w:val="0"/>
          <w:numId w:val="2"/>
        </w:numPr>
        <w:kinsoku/>
        <w:wordWrap/>
        <w:overflowPunct/>
        <w:topLinePunct w:val="0"/>
        <w:bidi w:val="0"/>
        <w:adjustRightInd/>
        <w:snapToGrid/>
        <w:spacing w:line="360" w:lineRule="auto"/>
        <w:ind w:firstLine="420" w:firstLineChars="200"/>
        <w:rPr>
          <w:rFonts w:hint="eastAsia"/>
          <w:szCs w:val="22"/>
          <w:lang w:val="en-US" w:eastAsia="zh-CN"/>
        </w:rPr>
      </w:pPr>
      <w:r>
        <w:rPr>
          <w:rFonts w:hint="eastAsia"/>
          <w:szCs w:val="22"/>
          <w:lang w:val="en-US" w:eastAsia="zh-CN"/>
        </w:rPr>
        <w:t>停车场（库）按使用性质划分为经营性停车场（库）和非经营性停车场（库）。</w:t>
      </w:r>
    </w:p>
    <w:p>
      <w:pPr>
        <w:pStyle w:val="30"/>
        <w:keepLines w:val="0"/>
        <w:kinsoku/>
        <w:wordWrap/>
        <w:overflowPunct/>
        <w:topLinePunct w:val="0"/>
        <w:bidi w:val="0"/>
        <w:adjustRightInd/>
        <w:snapToGrid/>
        <w:spacing w:before="312" w:after="312" w:line="360" w:lineRule="auto"/>
        <w:rPr>
          <w:rFonts w:hint="eastAsia"/>
          <w:szCs w:val="22"/>
          <w:lang w:val="en-US" w:eastAsia="zh-CN"/>
        </w:rPr>
      </w:pPr>
      <w:bookmarkStart w:id="137" w:name="_Toc16693"/>
      <w:r>
        <w:rPr>
          <w:rFonts w:hint="eastAsia"/>
          <w:szCs w:val="22"/>
          <w:lang w:val="en-US" w:eastAsia="zh-CN"/>
        </w:rPr>
        <w:t>编制原则</w:t>
      </w:r>
      <w:bookmarkEnd w:id="137"/>
    </w:p>
    <w:p>
      <w:pPr>
        <w:keepLines w:val="0"/>
        <w:numPr>
          <w:ilvl w:val="0"/>
          <w:numId w:val="0"/>
        </w:numPr>
        <w:kinsoku/>
        <w:wordWrap/>
        <w:overflowPunct/>
        <w:topLinePunct w:val="0"/>
        <w:bidi w:val="0"/>
        <w:adjustRightInd/>
        <w:snapToGrid/>
        <w:spacing w:line="360" w:lineRule="auto"/>
        <w:ind w:firstLine="420" w:firstLineChars="200"/>
        <w:rPr>
          <w:rFonts w:hint="eastAsia" w:ascii="宋体" w:hAnsi="宋体" w:eastAsia="宋体" w:cs="宋体"/>
          <w:szCs w:val="24"/>
        </w:rPr>
      </w:pPr>
      <w:r>
        <w:rPr>
          <w:rFonts w:hint="eastAsia" w:ascii="宋体" w:hAnsi="宋体" w:eastAsia="宋体" w:cs="宋体"/>
          <w:szCs w:val="24"/>
        </w:rPr>
        <w:t>本</w:t>
      </w:r>
      <w:r>
        <w:rPr>
          <w:rFonts w:hint="eastAsia" w:ascii="宋体" w:hAnsi="宋体" w:cs="宋体"/>
          <w:szCs w:val="24"/>
          <w:lang w:val="en-US" w:eastAsia="zh-CN"/>
        </w:rPr>
        <w:t>文件</w:t>
      </w:r>
      <w:r>
        <w:rPr>
          <w:rFonts w:hint="eastAsia" w:ascii="宋体" w:hAnsi="宋体" w:eastAsia="宋体" w:cs="宋体"/>
          <w:szCs w:val="24"/>
        </w:rPr>
        <w:t>起草过程坚持了以下基本原则：</w:t>
      </w:r>
    </w:p>
    <w:p>
      <w:pPr>
        <w:pStyle w:val="28"/>
        <w:keepLines w:val="0"/>
        <w:numPr>
          <w:ilvl w:val="0"/>
          <w:numId w:val="3"/>
        </w:numPr>
        <w:kinsoku/>
        <w:wordWrap/>
        <w:overflowPunct/>
        <w:topLinePunct w:val="0"/>
        <w:bidi w:val="0"/>
        <w:adjustRightInd/>
        <w:snapToGrid/>
        <w:spacing w:line="360" w:lineRule="auto"/>
        <w:rPr>
          <w:rFonts w:hint="eastAsia" w:ascii="宋体" w:hAnsi="宋体" w:eastAsia="宋体" w:cs="宋体"/>
          <w:szCs w:val="24"/>
        </w:rPr>
      </w:pPr>
      <w:r>
        <w:rPr>
          <w:rFonts w:hint="eastAsia" w:ascii="宋体" w:hAnsi="宋体" w:eastAsia="宋体" w:cs="宋体"/>
          <w:szCs w:val="22"/>
          <w:lang w:val="en-US" w:eastAsia="zh-CN"/>
        </w:rPr>
        <w:t>先进性原则</w:t>
      </w:r>
      <w:r>
        <w:rPr>
          <w:rFonts w:hint="eastAsia" w:hAnsi="宋体" w:cs="宋体"/>
          <w:szCs w:val="22"/>
          <w:lang w:val="en-US" w:eastAsia="zh-CN"/>
        </w:rPr>
        <w:t>：</w:t>
      </w:r>
      <w:r>
        <w:rPr>
          <w:rFonts w:hint="eastAsia" w:ascii="宋体" w:hAnsi="宋体" w:eastAsia="宋体" w:cs="宋体"/>
          <w:szCs w:val="24"/>
        </w:rPr>
        <w:t>在兼顾当前停车场</w:t>
      </w:r>
      <w:r>
        <w:rPr>
          <w:rFonts w:hint="eastAsia" w:hAnsi="宋体" w:cs="宋体"/>
          <w:szCs w:val="24"/>
          <w:lang w:eastAsia="zh-CN"/>
        </w:rPr>
        <w:t>（</w:t>
      </w:r>
      <w:r>
        <w:rPr>
          <w:rFonts w:hint="eastAsia" w:hAnsi="宋体" w:cs="宋体"/>
          <w:szCs w:val="24"/>
          <w:lang w:val="en-US" w:eastAsia="zh-CN"/>
        </w:rPr>
        <w:t>库</w:t>
      </w:r>
      <w:r>
        <w:rPr>
          <w:rFonts w:hint="eastAsia" w:hAnsi="宋体" w:cs="宋体"/>
          <w:szCs w:val="24"/>
          <w:lang w:eastAsia="zh-CN"/>
        </w:rPr>
        <w:t>）</w:t>
      </w:r>
      <w:r>
        <w:rPr>
          <w:rFonts w:hint="eastAsia" w:ascii="宋体" w:hAnsi="宋体" w:eastAsia="宋体" w:cs="宋体"/>
          <w:szCs w:val="24"/>
        </w:rPr>
        <w:t>现实发展情况的同时，体现</w:t>
      </w:r>
      <w:r>
        <w:rPr>
          <w:rFonts w:hint="eastAsia" w:ascii="宋体" w:hAnsi="宋体" w:cs="宋体"/>
          <w:szCs w:val="24"/>
          <w:lang w:val="en-US" w:eastAsia="zh-CN"/>
        </w:rPr>
        <w:t>文件</w:t>
      </w:r>
      <w:r>
        <w:rPr>
          <w:rFonts w:hint="eastAsia" w:ascii="宋体" w:hAnsi="宋体" w:eastAsia="宋体" w:cs="宋体"/>
          <w:szCs w:val="24"/>
        </w:rPr>
        <w:t>的前瞻性和引导性。在对停车场</w:t>
      </w:r>
      <w:r>
        <w:rPr>
          <w:rFonts w:hint="eastAsia" w:hAnsi="宋体" w:cs="宋体"/>
          <w:szCs w:val="24"/>
          <w:lang w:eastAsia="zh-CN"/>
        </w:rPr>
        <w:t>（</w:t>
      </w:r>
      <w:r>
        <w:rPr>
          <w:rFonts w:hint="eastAsia" w:hAnsi="宋体" w:cs="宋体"/>
          <w:szCs w:val="24"/>
          <w:lang w:val="en-US" w:eastAsia="zh-CN"/>
        </w:rPr>
        <w:t>库</w:t>
      </w:r>
      <w:r>
        <w:rPr>
          <w:rFonts w:hint="eastAsia" w:hAnsi="宋体" w:cs="宋体"/>
          <w:szCs w:val="24"/>
          <w:lang w:eastAsia="zh-CN"/>
        </w:rPr>
        <w:t>）</w:t>
      </w:r>
      <w:r>
        <w:rPr>
          <w:rFonts w:hint="eastAsia" w:ascii="宋体" w:hAnsi="宋体" w:eastAsia="宋体" w:cs="宋体"/>
          <w:szCs w:val="24"/>
        </w:rPr>
        <w:t>ETC</w:t>
      </w:r>
      <w:r>
        <w:rPr>
          <w:rFonts w:hint="eastAsia" w:ascii="宋体" w:hAnsi="宋体" w:cs="宋体"/>
          <w:szCs w:val="24"/>
          <w:lang w:val="en-US" w:eastAsia="zh-CN"/>
        </w:rPr>
        <w:t>智慧停车</w:t>
      </w:r>
      <w:r>
        <w:rPr>
          <w:rFonts w:hint="eastAsia" w:ascii="宋体" w:hAnsi="宋体" w:eastAsia="宋体" w:cs="宋体"/>
          <w:szCs w:val="24"/>
        </w:rPr>
        <w:t>规范化与统一监管</w:t>
      </w:r>
      <w:r>
        <w:rPr>
          <w:rFonts w:hint="eastAsia" w:hAnsi="宋体" w:cs="宋体"/>
          <w:szCs w:val="24"/>
          <w:lang w:eastAsia="zh-CN"/>
        </w:rPr>
        <w:t>，</w:t>
      </w:r>
      <w:r>
        <w:rPr>
          <w:rFonts w:hint="eastAsia" w:ascii="宋体" w:hAnsi="宋体" w:eastAsia="宋体" w:cs="宋体"/>
          <w:szCs w:val="24"/>
        </w:rPr>
        <w:t>特别是对停车场（库）</w:t>
      </w:r>
      <w:r>
        <w:rPr>
          <w:rFonts w:hint="eastAsia" w:hAnsi="宋体" w:cs="宋体"/>
          <w:szCs w:val="24"/>
          <w:lang w:val="en-US" w:eastAsia="zh-CN"/>
        </w:rPr>
        <w:t>信息</w:t>
      </w:r>
      <w:r>
        <w:rPr>
          <w:rFonts w:hint="eastAsia" w:ascii="宋体" w:hAnsi="宋体" w:eastAsia="宋体" w:cs="宋体"/>
          <w:szCs w:val="24"/>
        </w:rPr>
        <w:t>管理系统数据交互、停车场接入服务平台等方面，充分考虑了</w:t>
      </w:r>
      <w:r>
        <w:rPr>
          <w:rFonts w:hint="eastAsia" w:hAnsi="宋体" w:cs="宋体"/>
          <w:szCs w:val="24"/>
          <w:lang w:val="en-US" w:eastAsia="zh-CN"/>
        </w:rPr>
        <w:t>停车场（库）信息</w:t>
      </w:r>
      <w:r>
        <w:rPr>
          <w:rFonts w:hint="eastAsia" w:ascii="宋体" w:hAnsi="宋体" w:eastAsia="宋体" w:cs="宋体"/>
          <w:szCs w:val="24"/>
        </w:rPr>
        <w:t>管理工作未来的发展需要</w:t>
      </w:r>
      <w:r>
        <w:rPr>
          <w:rFonts w:hint="eastAsia" w:hAnsi="宋体" w:cs="宋体"/>
          <w:szCs w:val="24"/>
          <w:lang w:eastAsia="zh-CN"/>
        </w:rPr>
        <w:t>；</w:t>
      </w:r>
    </w:p>
    <w:p>
      <w:pPr>
        <w:pStyle w:val="28"/>
        <w:keepLines w:val="0"/>
        <w:numPr>
          <w:ilvl w:val="0"/>
          <w:numId w:val="3"/>
        </w:numPr>
        <w:kinsoku/>
        <w:wordWrap/>
        <w:overflowPunct/>
        <w:topLinePunct w:val="0"/>
        <w:bidi w:val="0"/>
        <w:adjustRightInd/>
        <w:snapToGrid/>
        <w:spacing w:line="360" w:lineRule="auto"/>
        <w:rPr>
          <w:rFonts w:hint="eastAsia" w:ascii="宋体" w:hAnsi="宋体" w:eastAsia="宋体" w:cs="宋体"/>
          <w:szCs w:val="24"/>
        </w:rPr>
      </w:pPr>
      <w:r>
        <w:rPr>
          <w:rFonts w:hint="eastAsia" w:ascii="宋体" w:hAnsi="宋体" w:eastAsia="宋体" w:cs="宋体"/>
          <w:szCs w:val="22"/>
          <w:lang w:val="en-US" w:eastAsia="zh-CN"/>
        </w:rPr>
        <w:t>适用性原则</w:t>
      </w:r>
      <w:r>
        <w:rPr>
          <w:rFonts w:hint="eastAsia" w:hAnsi="宋体" w:cs="宋体"/>
          <w:szCs w:val="22"/>
          <w:lang w:val="en-US" w:eastAsia="zh-CN"/>
        </w:rPr>
        <w:t>：</w:t>
      </w:r>
      <w:r>
        <w:rPr>
          <w:rFonts w:hint="eastAsia" w:ascii="宋体" w:hAnsi="宋体" w:eastAsia="宋体" w:cs="宋体"/>
          <w:szCs w:val="24"/>
        </w:rPr>
        <w:t>本</w:t>
      </w:r>
      <w:r>
        <w:rPr>
          <w:rFonts w:hint="eastAsia" w:ascii="宋体" w:hAnsi="宋体" w:cs="宋体"/>
          <w:szCs w:val="24"/>
          <w:lang w:val="en-US" w:eastAsia="zh-CN"/>
        </w:rPr>
        <w:t>文件</w:t>
      </w:r>
      <w:r>
        <w:rPr>
          <w:rFonts w:hint="eastAsia" w:ascii="宋体" w:hAnsi="宋体" w:eastAsia="宋体" w:cs="宋体"/>
          <w:szCs w:val="24"/>
        </w:rPr>
        <w:t>在起草过程中，</w:t>
      </w:r>
      <w:r>
        <w:rPr>
          <w:rFonts w:hint="eastAsia" w:hAnsi="宋体" w:cs="宋体"/>
          <w:szCs w:val="24"/>
          <w:lang w:val="en-US" w:eastAsia="zh-CN"/>
        </w:rPr>
        <w:t>既</w:t>
      </w:r>
      <w:r>
        <w:rPr>
          <w:rFonts w:hint="eastAsia" w:ascii="宋体" w:hAnsi="宋体" w:eastAsia="宋体" w:cs="宋体"/>
          <w:szCs w:val="24"/>
        </w:rPr>
        <w:t>考虑了在ETC停车服务软硬件设施方面的共性需求，又充分考虑到不同区域、不同级别停车场</w:t>
      </w:r>
      <w:r>
        <w:rPr>
          <w:rFonts w:hint="eastAsia" w:hAnsi="宋体" w:cs="宋体"/>
          <w:szCs w:val="24"/>
          <w:lang w:eastAsia="zh-CN"/>
        </w:rPr>
        <w:t>（</w:t>
      </w:r>
      <w:r>
        <w:rPr>
          <w:rFonts w:hint="eastAsia" w:hAnsi="宋体" w:cs="宋体"/>
          <w:szCs w:val="24"/>
          <w:lang w:val="en-US" w:eastAsia="zh-CN"/>
        </w:rPr>
        <w:t>库</w:t>
      </w:r>
      <w:r>
        <w:rPr>
          <w:rFonts w:hint="eastAsia" w:hAnsi="宋体" w:cs="宋体"/>
          <w:szCs w:val="24"/>
          <w:lang w:eastAsia="zh-CN"/>
        </w:rPr>
        <w:t>）</w:t>
      </w:r>
      <w:r>
        <w:rPr>
          <w:rFonts w:hint="eastAsia" w:ascii="宋体" w:hAnsi="宋体" w:eastAsia="宋体" w:cs="宋体"/>
          <w:szCs w:val="24"/>
        </w:rPr>
        <w:t>管理和服务工作在内容、形式和条件等方面的差异，具有广泛的</w:t>
      </w:r>
      <w:r>
        <w:rPr>
          <w:rFonts w:hint="eastAsia" w:hAnsi="宋体" w:cs="宋体"/>
          <w:szCs w:val="24"/>
          <w:lang w:val="en-US" w:eastAsia="zh-CN"/>
        </w:rPr>
        <w:t>适</w:t>
      </w:r>
      <w:r>
        <w:rPr>
          <w:rFonts w:hint="eastAsia" w:ascii="宋体" w:hAnsi="宋体" w:eastAsia="宋体" w:cs="宋体"/>
          <w:szCs w:val="24"/>
        </w:rPr>
        <w:t>用性</w:t>
      </w:r>
      <w:r>
        <w:rPr>
          <w:rFonts w:hint="eastAsia" w:hAnsi="宋体" w:cs="宋体"/>
          <w:szCs w:val="24"/>
          <w:lang w:eastAsia="zh-CN"/>
        </w:rPr>
        <w:t>；</w:t>
      </w:r>
    </w:p>
    <w:p>
      <w:pPr>
        <w:pStyle w:val="28"/>
        <w:keepLines w:val="0"/>
        <w:numPr>
          <w:ilvl w:val="0"/>
          <w:numId w:val="3"/>
        </w:numPr>
        <w:kinsoku/>
        <w:wordWrap/>
        <w:overflowPunct/>
        <w:topLinePunct w:val="0"/>
        <w:bidi w:val="0"/>
        <w:adjustRightInd/>
        <w:snapToGrid/>
        <w:spacing w:line="360" w:lineRule="auto"/>
        <w:rPr>
          <w:rFonts w:hint="eastAsia" w:ascii="宋体" w:hAnsi="宋体" w:eastAsia="宋体" w:cs="宋体"/>
          <w:szCs w:val="24"/>
        </w:rPr>
      </w:pPr>
      <w:r>
        <w:rPr>
          <w:rFonts w:hint="eastAsia" w:ascii="宋体" w:hAnsi="宋体" w:eastAsia="宋体" w:cs="宋体"/>
          <w:szCs w:val="22"/>
          <w:lang w:val="en-US" w:eastAsia="zh-CN"/>
        </w:rPr>
        <w:t>可操作性原则</w:t>
      </w:r>
      <w:r>
        <w:rPr>
          <w:rFonts w:hint="eastAsia" w:hAnsi="宋体" w:cs="宋体"/>
          <w:szCs w:val="22"/>
          <w:lang w:val="en-US" w:eastAsia="zh-CN"/>
        </w:rPr>
        <w:t>：</w:t>
      </w:r>
      <w:r>
        <w:rPr>
          <w:rFonts w:hint="eastAsia" w:ascii="宋体" w:hAnsi="宋体" w:eastAsia="宋体" w:cs="宋体"/>
          <w:szCs w:val="24"/>
        </w:rPr>
        <w:t>本</w:t>
      </w:r>
      <w:r>
        <w:rPr>
          <w:rFonts w:hint="eastAsia" w:ascii="宋体" w:hAnsi="宋体" w:cs="宋体"/>
          <w:szCs w:val="24"/>
          <w:lang w:val="en-US" w:eastAsia="zh-CN"/>
        </w:rPr>
        <w:t>文件</w:t>
      </w:r>
      <w:r>
        <w:rPr>
          <w:rFonts w:hint="eastAsia" w:ascii="宋体" w:hAnsi="宋体" w:eastAsia="宋体" w:cs="宋体"/>
          <w:szCs w:val="24"/>
        </w:rPr>
        <w:t>在起草过程中，对相关停车企业、ETC天线设备商、软件开发商进行走访调研，吸纳了各个企业给出的建议，从实际出发，对预接入辽宁高速ETC</w:t>
      </w:r>
      <w:r>
        <w:rPr>
          <w:rFonts w:hint="eastAsia" w:ascii="宋体" w:hAnsi="宋体" w:cs="宋体"/>
          <w:szCs w:val="24"/>
          <w:lang w:val="en-US" w:eastAsia="zh-CN"/>
        </w:rPr>
        <w:t>智慧</w:t>
      </w:r>
      <w:r>
        <w:rPr>
          <w:rFonts w:hint="eastAsia" w:ascii="宋体" w:hAnsi="宋体" w:eastAsia="宋体" w:cs="宋体"/>
          <w:szCs w:val="24"/>
        </w:rPr>
        <w:t>停车场（库）服务商提出一系列的规范性要求，具有一定的可操作性。</w:t>
      </w:r>
    </w:p>
    <w:p>
      <w:pPr>
        <w:pStyle w:val="30"/>
        <w:keepLines w:val="0"/>
        <w:kinsoku/>
        <w:wordWrap/>
        <w:overflowPunct/>
        <w:topLinePunct w:val="0"/>
        <w:bidi w:val="0"/>
        <w:adjustRightInd/>
        <w:snapToGrid/>
        <w:spacing w:before="312" w:after="312" w:line="360" w:lineRule="auto"/>
        <w:rPr>
          <w:rFonts w:hint="eastAsia"/>
          <w:szCs w:val="24"/>
        </w:rPr>
      </w:pPr>
      <w:bookmarkStart w:id="138" w:name="_Toc915"/>
      <w:r>
        <w:rPr>
          <w:rFonts w:hint="eastAsia"/>
          <w:szCs w:val="24"/>
        </w:rPr>
        <w:t>接入原则</w:t>
      </w:r>
      <w:bookmarkEnd w:id="138"/>
    </w:p>
    <w:p>
      <w:pPr>
        <w:pStyle w:val="31"/>
        <w:keepLines w:val="0"/>
        <w:kinsoku/>
        <w:wordWrap/>
        <w:overflowPunct/>
        <w:topLinePunct w:val="0"/>
        <w:bidi w:val="0"/>
        <w:adjustRightInd/>
        <w:snapToGrid/>
        <w:spacing w:before="156" w:after="156" w:line="360" w:lineRule="auto"/>
        <w:rPr>
          <w:rFonts w:hint="eastAsia"/>
          <w:szCs w:val="24"/>
        </w:rPr>
      </w:pPr>
      <w:bookmarkStart w:id="139" w:name="_Toc2993"/>
      <w:r>
        <w:rPr>
          <w:rFonts w:hint="eastAsia"/>
          <w:szCs w:val="24"/>
        </w:rPr>
        <w:t>规范性和适应性</w:t>
      </w:r>
      <w:bookmarkEnd w:id="139"/>
    </w:p>
    <w:p>
      <w:pPr>
        <w:keepLines w:val="0"/>
        <w:numPr>
          <w:ilvl w:val="0"/>
          <w:numId w:val="0"/>
        </w:numPr>
        <w:kinsoku/>
        <w:wordWrap/>
        <w:overflowPunct/>
        <w:topLinePunct w:val="0"/>
        <w:bidi w:val="0"/>
        <w:adjustRightInd/>
        <w:snapToGrid/>
        <w:spacing w:line="360" w:lineRule="auto"/>
        <w:ind w:firstLine="420" w:firstLineChars="200"/>
        <w:rPr>
          <w:rFonts w:hint="eastAsia"/>
          <w:szCs w:val="24"/>
        </w:rPr>
      </w:pPr>
      <w:r>
        <w:rPr>
          <w:rFonts w:hint="eastAsia"/>
          <w:szCs w:val="24"/>
        </w:rPr>
        <w:t>停车场（库）软硬件设施应符合国家相关标准以及行业标准的要求。</w:t>
      </w:r>
    </w:p>
    <w:p>
      <w:pPr>
        <w:keepLines w:val="0"/>
        <w:numPr>
          <w:ilvl w:val="0"/>
          <w:numId w:val="0"/>
        </w:numPr>
        <w:kinsoku/>
        <w:wordWrap/>
        <w:overflowPunct/>
        <w:topLinePunct w:val="0"/>
        <w:bidi w:val="0"/>
        <w:adjustRightInd/>
        <w:snapToGrid/>
        <w:spacing w:line="360" w:lineRule="auto"/>
        <w:ind w:firstLine="420" w:firstLineChars="200"/>
        <w:rPr>
          <w:rFonts w:hint="eastAsia"/>
          <w:szCs w:val="24"/>
        </w:rPr>
      </w:pPr>
      <w:r>
        <w:rPr>
          <w:rFonts w:hint="eastAsia"/>
          <w:szCs w:val="24"/>
        </w:rPr>
        <w:t>停车场（库）信息管理相关系统满足相互间联网通信的要求，应尽量采用模块化结构，提高系统适应环境变化的能力。</w:t>
      </w:r>
    </w:p>
    <w:p>
      <w:pPr>
        <w:pStyle w:val="31"/>
        <w:keepLines w:val="0"/>
        <w:kinsoku/>
        <w:wordWrap/>
        <w:overflowPunct/>
        <w:topLinePunct w:val="0"/>
        <w:bidi w:val="0"/>
        <w:adjustRightInd/>
        <w:snapToGrid/>
        <w:spacing w:before="156" w:after="156" w:line="360" w:lineRule="auto"/>
        <w:rPr>
          <w:rFonts w:hint="eastAsia"/>
          <w:szCs w:val="24"/>
        </w:rPr>
      </w:pPr>
      <w:bookmarkStart w:id="140" w:name="_Toc15328"/>
      <w:r>
        <w:rPr>
          <w:rFonts w:hint="eastAsia"/>
          <w:szCs w:val="24"/>
        </w:rPr>
        <w:t>安全性和稳定性</w:t>
      </w:r>
      <w:bookmarkEnd w:id="140"/>
    </w:p>
    <w:p>
      <w:pPr>
        <w:keepLines w:val="0"/>
        <w:numPr>
          <w:ilvl w:val="0"/>
          <w:numId w:val="0"/>
        </w:numPr>
        <w:kinsoku/>
        <w:wordWrap/>
        <w:overflowPunct/>
        <w:topLinePunct w:val="0"/>
        <w:bidi w:val="0"/>
        <w:adjustRightInd/>
        <w:snapToGrid/>
        <w:spacing w:line="360" w:lineRule="auto"/>
        <w:ind w:firstLine="420" w:firstLineChars="200"/>
        <w:rPr>
          <w:rFonts w:hint="eastAsia"/>
          <w:sz w:val="21"/>
          <w:szCs w:val="21"/>
        </w:rPr>
      </w:pPr>
      <w:r>
        <w:rPr>
          <w:rFonts w:hint="eastAsia"/>
          <w:sz w:val="21"/>
          <w:szCs w:val="21"/>
        </w:rPr>
        <w:t>停车场（库）软硬件设施应经过完善的设计和充分的测试运行，具备在较长时间内连续无故障的运行能力。</w:t>
      </w:r>
    </w:p>
    <w:p>
      <w:pPr>
        <w:keepLines w:val="0"/>
        <w:numPr>
          <w:ilvl w:val="0"/>
          <w:numId w:val="0"/>
        </w:numPr>
        <w:kinsoku/>
        <w:wordWrap/>
        <w:overflowPunct/>
        <w:topLinePunct w:val="0"/>
        <w:bidi w:val="0"/>
        <w:adjustRightInd/>
        <w:snapToGrid/>
        <w:spacing w:line="360" w:lineRule="auto"/>
        <w:ind w:firstLine="420" w:firstLineChars="200"/>
        <w:rPr>
          <w:rFonts w:hint="eastAsia"/>
          <w:sz w:val="21"/>
          <w:szCs w:val="21"/>
        </w:rPr>
      </w:pPr>
      <w:r>
        <w:rPr>
          <w:rFonts w:hint="eastAsia"/>
          <w:sz w:val="21"/>
          <w:szCs w:val="21"/>
        </w:rPr>
        <w:t>停车场（库）软硬件</w:t>
      </w:r>
      <w:r>
        <w:rPr>
          <w:rFonts w:hint="eastAsia"/>
          <w:sz w:val="21"/>
          <w:szCs w:val="21"/>
          <w:lang w:val="en-US" w:eastAsia="zh-CN"/>
        </w:rPr>
        <w:t>设施</w:t>
      </w:r>
      <w:r>
        <w:rPr>
          <w:rFonts w:hint="eastAsia"/>
          <w:sz w:val="21"/>
          <w:szCs w:val="21"/>
        </w:rPr>
        <w:t>应提供全面</w:t>
      </w:r>
      <w:r>
        <w:rPr>
          <w:rFonts w:hint="eastAsia"/>
          <w:sz w:val="21"/>
          <w:szCs w:val="21"/>
          <w:lang w:val="en-US" w:eastAsia="zh-CN"/>
        </w:rPr>
        <w:t>且</w:t>
      </w:r>
      <w:r>
        <w:rPr>
          <w:rFonts w:hint="eastAsia"/>
          <w:sz w:val="21"/>
          <w:szCs w:val="21"/>
        </w:rPr>
        <w:t>有效的系统安全机制，保障数据安全。</w:t>
      </w:r>
    </w:p>
    <w:p>
      <w:pPr>
        <w:keepLines w:val="0"/>
        <w:numPr>
          <w:ilvl w:val="0"/>
          <w:numId w:val="0"/>
        </w:numPr>
        <w:kinsoku/>
        <w:wordWrap/>
        <w:overflowPunct/>
        <w:topLinePunct w:val="0"/>
        <w:bidi w:val="0"/>
        <w:adjustRightInd/>
        <w:snapToGrid/>
        <w:spacing w:line="360" w:lineRule="auto"/>
        <w:ind w:firstLine="420" w:firstLineChars="200"/>
        <w:rPr>
          <w:rFonts w:hint="eastAsia"/>
          <w:sz w:val="21"/>
          <w:szCs w:val="21"/>
        </w:rPr>
      </w:pPr>
      <w:r>
        <w:rPr>
          <w:rFonts w:hint="eastAsia"/>
          <w:sz w:val="21"/>
          <w:szCs w:val="21"/>
        </w:rPr>
        <w:t>停车场（库）信息管理系统应采用国内外主流的设备、技术和产品，保证系统不断升级和更新的需要。</w:t>
      </w:r>
    </w:p>
    <w:p>
      <w:pPr>
        <w:pStyle w:val="31"/>
        <w:keepLines w:val="0"/>
        <w:kinsoku/>
        <w:wordWrap/>
        <w:overflowPunct/>
        <w:topLinePunct w:val="0"/>
        <w:bidi w:val="0"/>
        <w:adjustRightInd/>
        <w:snapToGrid/>
        <w:spacing w:before="156" w:after="156" w:line="360" w:lineRule="auto"/>
        <w:rPr>
          <w:rFonts w:hint="eastAsia"/>
          <w:szCs w:val="24"/>
        </w:rPr>
      </w:pPr>
      <w:bookmarkStart w:id="141" w:name="_Toc28458"/>
      <w:r>
        <w:rPr>
          <w:rFonts w:hint="eastAsia"/>
          <w:szCs w:val="24"/>
        </w:rPr>
        <w:t>准确性和实时性</w:t>
      </w:r>
      <w:bookmarkEnd w:id="141"/>
    </w:p>
    <w:p>
      <w:pPr>
        <w:keepLines w:val="0"/>
        <w:numPr>
          <w:ilvl w:val="0"/>
          <w:numId w:val="0"/>
        </w:numPr>
        <w:kinsoku/>
        <w:wordWrap/>
        <w:overflowPunct/>
        <w:topLinePunct w:val="0"/>
        <w:bidi w:val="0"/>
        <w:adjustRightInd/>
        <w:snapToGrid/>
        <w:spacing w:line="360" w:lineRule="auto"/>
        <w:ind w:firstLine="420" w:firstLineChars="200"/>
        <w:rPr>
          <w:rFonts w:hint="eastAsia"/>
          <w:szCs w:val="24"/>
        </w:rPr>
      </w:pPr>
      <w:r>
        <w:rPr>
          <w:rFonts w:hint="eastAsia"/>
          <w:szCs w:val="24"/>
        </w:rPr>
        <w:t>停车场（库）软硬件</w:t>
      </w:r>
      <w:r>
        <w:rPr>
          <w:rFonts w:hint="eastAsia"/>
          <w:szCs w:val="24"/>
          <w:lang w:val="en-US" w:eastAsia="zh-CN"/>
        </w:rPr>
        <w:t>设施</w:t>
      </w:r>
      <w:r>
        <w:rPr>
          <w:rFonts w:hint="eastAsia"/>
          <w:szCs w:val="24"/>
        </w:rPr>
        <w:t>应能准确实时地采集停车信息，并通过网站、移动终端</w:t>
      </w:r>
      <w:r>
        <w:rPr>
          <w:rFonts w:hint="eastAsia"/>
          <w:szCs w:val="24"/>
          <w:lang w:val="en-US" w:eastAsia="zh-CN"/>
        </w:rPr>
        <w:t>和</w:t>
      </w:r>
      <w:r>
        <w:rPr>
          <w:rFonts w:hint="eastAsia"/>
          <w:szCs w:val="24"/>
        </w:rPr>
        <w:t>各级诱导屏等发布</w:t>
      </w:r>
      <w:r>
        <w:rPr>
          <w:rFonts w:hint="eastAsia"/>
          <w:szCs w:val="24"/>
          <w:lang w:eastAsia="zh-CN"/>
        </w:rPr>
        <w:t>车（泊）位</w:t>
      </w:r>
      <w:r>
        <w:rPr>
          <w:rFonts w:hint="eastAsia"/>
          <w:szCs w:val="24"/>
        </w:rPr>
        <w:t>信息。</w:t>
      </w:r>
    </w:p>
    <w:p>
      <w:pPr>
        <w:pStyle w:val="31"/>
        <w:keepLines w:val="0"/>
        <w:kinsoku/>
        <w:wordWrap/>
        <w:overflowPunct/>
        <w:topLinePunct w:val="0"/>
        <w:bidi w:val="0"/>
        <w:adjustRightInd/>
        <w:snapToGrid/>
        <w:spacing w:before="156" w:after="156" w:line="360" w:lineRule="auto"/>
        <w:rPr>
          <w:rFonts w:hint="eastAsia"/>
          <w:szCs w:val="24"/>
        </w:rPr>
      </w:pPr>
      <w:bookmarkStart w:id="142" w:name="_Toc29050"/>
      <w:r>
        <w:rPr>
          <w:rFonts w:hint="eastAsia"/>
          <w:szCs w:val="24"/>
        </w:rPr>
        <w:t>兼容性和易用性</w:t>
      </w:r>
      <w:bookmarkEnd w:id="142"/>
    </w:p>
    <w:p>
      <w:pPr>
        <w:keepLines w:val="0"/>
        <w:numPr>
          <w:ilvl w:val="0"/>
          <w:numId w:val="0"/>
        </w:numPr>
        <w:kinsoku/>
        <w:wordWrap/>
        <w:overflowPunct/>
        <w:topLinePunct w:val="0"/>
        <w:bidi w:val="0"/>
        <w:adjustRightInd/>
        <w:snapToGrid/>
        <w:spacing w:line="360" w:lineRule="auto"/>
        <w:ind w:firstLine="420" w:firstLineChars="200"/>
        <w:rPr>
          <w:rFonts w:hint="eastAsia"/>
          <w:szCs w:val="24"/>
        </w:rPr>
      </w:pPr>
      <w:r>
        <w:rPr>
          <w:rFonts w:hint="eastAsia"/>
          <w:szCs w:val="24"/>
        </w:rPr>
        <w:t>停车场（库）软硬件</w:t>
      </w:r>
      <w:r>
        <w:rPr>
          <w:rFonts w:hint="eastAsia"/>
          <w:szCs w:val="24"/>
          <w:lang w:val="en-US" w:eastAsia="zh-CN"/>
        </w:rPr>
        <w:t>设施</w:t>
      </w:r>
      <w:r>
        <w:rPr>
          <w:rFonts w:hint="eastAsia"/>
          <w:szCs w:val="24"/>
        </w:rPr>
        <w:t>应具备开放的标准化体系结构，可方便地与其他业务系统衔接，实现与</w:t>
      </w:r>
      <w:r>
        <w:rPr>
          <w:rFonts w:hint="eastAsia"/>
          <w:szCs w:val="24"/>
          <w:lang w:val="en-US" w:eastAsia="zh-CN"/>
        </w:rPr>
        <w:t>其他</w:t>
      </w:r>
      <w:r>
        <w:rPr>
          <w:rFonts w:hint="eastAsia"/>
          <w:szCs w:val="24"/>
        </w:rPr>
        <w:t>业务系统间的无缝集成。</w:t>
      </w:r>
    </w:p>
    <w:p>
      <w:pPr>
        <w:keepLines w:val="0"/>
        <w:numPr>
          <w:ilvl w:val="0"/>
          <w:numId w:val="0"/>
        </w:numPr>
        <w:kinsoku/>
        <w:wordWrap/>
        <w:overflowPunct/>
        <w:topLinePunct w:val="0"/>
        <w:bidi w:val="0"/>
        <w:adjustRightInd/>
        <w:snapToGrid/>
        <w:spacing w:line="360" w:lineRule="auto"/>
        <w:ind w:firstLine="420" w:firstLineChars="200"/>
        <w:rPr>
          <w:rFonts w:hint="eastAsia"/>
          <w:szCs w:val="24"/>
        </w:rPr>
      </w:pPr>
      <w:r>
        <w:rPr>
          <w:rFonts w:hint="eastAsia"/>
          <w:szCs w:val="24"/>
        </w:rPr>
        <w:t>停车场（库）信息管理系统应具备界面简洁</w:t>
      </w:r>
      <w:r>
        <w:rPr>
          <w:rFonts w:hint="eastAsia"/>
          <w:szCs w:val="24"/>
          <w:lang w:val="en-US" w:eastAsia="zh-CN"/>
        </w:rPr>
        <w:t>和</w:t>
      </w:r>
      <w:r>
        <w:rPr>
          <w:rFonts w:hint="eastAsia"/>
          <w:szCs w:val="24"/>
        </w:rPr>
        <w:t>操作简单等特点。</w:t>
      </w:r>
    </w:p>
    <w:p>
      <w:pPr>
        <w:pStyle w:val="30"/>
        <w:keepLines w:val="0"/>
        <w:kinsoku/>
        <w:wordWrap/>
        <w:overflowPunct/>
        <w:topLinePunct w:val="0"/>
        <w:bidi w:val="0"/>
        <w:adjustRightInd/>
        <w:snapToGrid/>
        <w:spacing w:before="312" w:after="312" w:line="360" w:lineRule="auto"/>
        <w:rPr>
          <w:rFonts w:hint="eastAsia"/>
          <w:szCs w:val="24"/>
        </w:rPr>
      </w:pPr>
      <w:bookmarkStart w:id="143" w:name="_Toc7922"/>
      <w:r>
        <w:rPr>
          <w:rFonts w:hint="eastAsia"/>
          <w:szCs w:val="24"/>
        </w:rPr>
        <w:t>基本框架</w:t>
      </w:r>
      <w:bookmarkEnd w:id="143"/>
    </w:p>
    <w:p>
      <w:pPr>
        <w:pStyle w:val="31"/>
        <w:keepLines w:val="0"/>
        <w:kinsoku/>
        <w:wordWrap/>
        <w:overflowPunct/>
        <w:topLinePunct w:val="0"/>
        <w:bidi w:val="0"/>
        <w:adjustRightInd/>
        <w:snapToGrid/>
        <w:spacing w:before="156" w:after="156" w:line="360" w:lineRule="auto"/>
        <w:rPr>
          <w:rFonts w:hint="eastAsia"/>
          <w:szCs w:val="24"/>
        </w:rPr>
      </w:pPr>
      <w:bookmarkStart w:id="144" w:name="_Toc7812"/>
      <w:r>
        <w:rPr>
          <w:rFonts w:hint="eastAsia"/>
          <w:szCs w:val="24"/>
        </w:rPr>
        <w:t>整体架构</w:t>
      </w:r>
      <w:bookmarkEnd w:id="144"/>
    </w:p>
    <w:p>
      <w:pPr>
        <w:keepLines w:val="0"/>
        <w:numPr>
          <w:ilvl w:val="0"/>
          <w:numId w:val="0"/>
        </w:numPr>
        <w:kinsoku/>
        <w:wordWrap/>
        <w:overflowPunct/>
        <w:topLinePunct w:val="0"/>
        <w:bidi w:val="0"/>
        <w:adjustRightInd/>
        <w:snapToGrid/>
        <w:spacing w:line="360" w:lineRule="auto"/>
        <w:ind w:firstLine="420" w:firstLineChars="200"/>
        <w:rPr>
          <w:rFonts w:hint="eastAsia" w:ascii="宋体" w:hAnsi="宋体" w:eastAsia="宋体" w:cs="宋体"/>
          <w:szCs w:val="24"/>
        </w:rPr>
      </w:pPr>
      <w:r>
        <w:rPr>
          <w:rFonts w:hint="eastAsia" w:ascii="宋体" w:hAnsi="宋体" w:eastAsia="宋体" w:cs="宋体"/>
          <w:szCs w:val="24"/>
        </w:rPr>
        <w:t>根据辽宁高速ETC</w:t>
      </w:r>
      <w:r>
        <w:rPr>
          <w:rFonts w:hint="eastAsia" w:ascii="宋体" w:hAnsi="宋体" w:cs="宋体"/>
          <w:szCs w:val="24"/>
          <w:lang w:val="en-US" w:eastAsia="zh-CN"/>
        </w:rPr>
        <w:t>智慧</w:t>
      </w:r>
      <w:r>
        <w:rPr>
          <w:rFonts w:hint="eastAsia" w:ascii="宋体" w:hAnsi="宋体" w:eastAsia="宋体" w:cs="宋体"/>
          <w:szCs w:val="24"/>
        </w:rPr>
        <w:t>停车业务发展需要，辽宁高速ETC</w:t>
      </w:r>
      <w:r>
        <w:rPr>
          <w:rFonts w:hint="eastAsia" w:ascii="宋体" w:hAnsi="宋体" w:cs="宋体"/>
          <w:szCs w:val="24"/>
          <w:lang w:val="en-US" w:eastAsia="zh-CN"/>
        </w:rPr>
        <w:t>智慧</w:t>
      </w:r>
      <w:r>
        <w:rPr>
          <w:rFonts w:hint="eastAsia" w:ascii="宋体" w:hAnsi="宋体" w:eastAsia="宋体" w:cs="宋体"/>
          <w:szCs w:val="24"/>
        </w:rPr>
        <w:t>停车场信息服务整体架构如图1所示。</w:t>
      </w:r>
    </w:p>
    <w:p>
      <w:pPr>
        <w:keepLines w:val="0"/>
        <w:numPr>
          <w:ilvl w:val="0"/>
          <w:numId w:val="0"/>
        </w:numPr>
        <w:kinsoku/>
        <w:wordWrap/>
        <w:overflowPunct/>
        <w:topLinePunct w:val="0"/>
        <w:bidi w:val="0"/>
        <w:adjustRightInd/>
        <w:snapToGrid/>
        <w:spacing w:line="360" w:lineRule="auto"/>
        <w:jc w:val="center"/>
        <w:rPr>
          <w:rFonts w:hint="eastAsia" w:eastAsia="宋体"/>
          <w:szCs w:val="24"/>
          <w:lang w:eastAsia="zh-CN"/>
        </w:rPr>
      </w:pPr>
      <w:r>
        <w:drawing>
          <wp:inline distT="0" distB="0" distL="114300" distR="114300">
            <wp:extent cx="4078605" cy="1753235"/>
            <wp:effectExtent l="0" t="0" r="5715" b="14605"/>
            <wp:docPr id="15" name="图片 2" descr="辽宁高速ETC收费停车场信息服务架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辽宁高速ETC收费停车场信息服务架构"/>
                    <pic:cNvPicPr>
                      <a:picLocks noChangeAspect="1"/>
                    </pic:cNvPicPr>
                  </pic:nvPicPr>
                  <pic:blipFill>
                    <a:blip r:embed="rId17"/>
                    <a:srcRect t="12196" b="11432"/>
                    <a:stretch>
                      <a:fillRect/>
                    </a:stretch>
                  </pic:blipFill>
                  <pic:spPr>
                    <a:xfrm>
                      <a:off x="0" y="0"/>
                      <a:ext cx="4078605" cy="1753235"/>
                    </a:xfrm>
                    <a:prstGeom prst="rect">
                      <a:avLst/>
                    </a:prstGeom>
                    <a:noFill/>
                    <a:ln>
                      <a:noFill/>
                    </a:ln>
                  </pic:spPr>
                </pic:pic>
              </a:graphicData>
            </a:graphic>
          </wp:inline>
        </w:drawing>
      </w:r>
    </w:p>
    <w:p>
      <w:pPr>
        <w:pStyle w:val="28"/>
        <w:keepLines w:val="0"/>
        <w:kinsoku/>
        <w:wordWrap/>
        <w:overflowPunct/>
        <w:topLinePunct w:val="0"/>
        <w:bidi w:val="0"/>
        <w:adjustRightInd/>
        <w:snapToGrid/>
        <w:spacing w:line="360" w:lineRule="auto"/>
        <w:ind w:firstLine="0" w:firstLineChars="0"/>
        <w:jc w:val="center"/>
        <w:rPr>
          <w:rFonts w:hint="eastAsia" w:ascii="黑体" w:hAnsi="黑体" w:eastAsia="黑体" w:cs="黑体"/>
          <w:szCs w:val="22"/>
          <w:lang w:val="en-US" w:eastAsia="zh-CN"/>
        </w:rPr>
      </w:pPr>
      <w:r>
        <w:rPr>
          <w:rFonts w:hint="eastAsia" w:ascii="黑体" w:hAnsi="黑体" w:eastAsia="黑体" w:cs="黑体"/>
          <w:szCs w:val="22"/>
        </w:rPr>
        <w:t>图1</w:t>
      </w:r>
      <w:r>
        <w:rPr>
          <w:rFonts w:hint="eastAsia" w:ascii="黑体" w:hAnsi="黑体" w:eastAsia="黑体" w:cs="黑体"/>
          <w:szCs w:val="22"/>
          <w:lang w:eastAsia="zh-CN"/>
        </w:rPr>
        <w:t>　</w:t>
      </w:r>
      <w:r>
        <w:rPr>
          <w:rFonts w:hint="eastAsia" w:ascii="黑体" w:hAnsi="黑体" w:eastAsia="黑体" w:cs="黑体"/>
          <w:szCs w:val="22"/>
        </w:rPr>
        <w:t>辽宁高速ETC</w:t>
      </w:r>
      <w:r>
        <w:rPr>
          <w:rFonts w:hint="eastAsia" w:ascii="黑体" w:hAnsi="黑体" w:eastAsia="黑体" w:cs="黑体"/>
          <w:szCs w:val="22"/>
          <w:lang w:val="en-US" w:eastAsia="zh-CN"/>
        </w:rPr>
        <w:t>智慧</w:t>
      </w:r>
      <w:r>
        <w:rPr>
          <w:rFonts w:hint="eastAsia" w:ascii="黑体" w:hAnsi="黑体" w:eastAsia="黑体" w:cs="黑体"/>
          <w:szCs w:val="22"/>
        </w:rPr>
        <w:t>停车场信息服务整体架构</w:t>
      </w:r>
    </w:p>
    <w:p>
      <w:pPr>
        <w:pStyle w:val="31"/>
        <w:keepLines w:val="0"/>
        <w:kinsoku/>
        <w:wordWrap/>
        <w:overflowPunct/>
        <w:topLinePunct w:val="0"/>
        <w:bidi w:val="0"/>
        <w:adjustRightInd/>
        <w:snapToGrid/>
        <w:spacing w:before="156" w:after="156" w:line="360" w:lineRule="auto"/>
        <w:rPr>
          <w:rFonts w:hint="eastAsia"/>
          <w:szCs w:val="24"/>
        </w:rPr>
      </w:pPr>
      <w:bookmarkStart w:id="145" w:name="_Toc22608"/>
      <w:r>
        <w:rPr>
          <w:rFonts w:hint="eastAsia"/>
          <w:szCs w:val="24"/>
        </w:rPr>
        <w:t>辽宁高速ETC拓展服务平台</w:t>
      </w:r>
      <w:bookmarkEnd w:id="145"/>
    </w:p>
    <w:p>
      <w:pPr>
        <w:keepLines w:val="0"/>
        <w:numPr>
          <w:ilvl w:val="0"/>
          <w:numId w:val="0"/>
        </w:numPr>
        <w:kinsoku/>
        <w:wordWrap/>
        <w:overflowPunct/>
        <w:topLinePunct w:val="0"/>
        <w:bidi w:val="0"/>
        <w:adjustRightInd/>
        <w:snapToGrid/>
        <w:spacing w:line="360" w:lineRule="auto"/>
        <w:ind w:firstLine="420" w:firstLineChars="200"/>
        <w:rPr>
          <w:rFonts w:hint="eastAsia" w:ascii="宋体" w:hAnsi="宋体" w:eastAsia="宋体" w:cs="宋体"/>
          <w:szCs w:val="24"/>
        </w:rPr>
      </w:pPr>
      <w:r>
        <w:rPr>
          <w:rFonts w:hint="eastAsia" w:ascii="宋体" w:hAnsi="宋体" w:eastAsia="宋体" w:cs="宋体"/>
          <w:szCs w:val="24"/>
        </w:rPr>
        <w:t>由辽宁ETC发行机构负责组织建设并运行维护，负责服务商和商户入网检查、审核报备、多级分层管理运营、车主营销、天线设备对接管理、ETC支付交易对账清分、差错处理、银行系统对接、交易</w:t>
      </w:r>
      <w:r>
        <w:rPr>
          <w:rFonts w:hint="eastAsia" w:ascii="宋体" w:hAnsi="宋体" w:cs="宋体"/>
          <w:szCs w:val="24"/>
          <w:lang w:eastAsia="zh-CN"/>
        </w:rPr>
        <w:t>、</w:t>
      </w:r>
      <w:r>
        <w:rPr>
          <w:rFonts w:hint="eastAsia" w:ascii="宋体" w:hAnsi="宋体" w:eastAsia="宋体" w:cs="宋体"/>
          <w:szCs w:val="24"/>
        </w:rPr>
        <w:t>资金风控</w:t>
      </w:r>
      <w:r>
        <w:rPr>
          <w:rFonts w:hint="eastAsia" w:ascii="宋体" w:hAnsi="宋体" w:cs="宋体"/>
          <w:szCs w:val="24"/>
          <w:lang w:val="en-US" w:eastAsia="zh-CN"/>
        </w:rPr>
        <w:t>及</w:t>
      </w:r>
      <w:r>
        <w:rPr>
          <w:rFonts w:hint="eastAsia" w:ascii="宋体" w:hAnsi="宋体" w:eastAsia="宋体" w:cs="宋体"/>
          <w:szCs w:val="24"/>
        </w:rPr>
        <w:t>电子发票等。通过与停车场计费软件对接，车辆出口时，将交易上送拓展应用平台，完成停车ETC扣费。</w:t>
      </w:r>
    </w:p>
    <w:p>
      <w:pPr>
        <w:pStyle w:val="31"/>
        <w:keepLines w:val="0"/>
        <w:kinsoku/>
        <w:wordWrap/>
        <w:overflowPunct/>
        <w:topLinePunct w:val="0"/>
        <w:bidi w:val="0"/>
        <w:adjustRightInd/>
        <w:snapToGrid/>
        <w:spacing w:before="156" w:after="156" w:line="360" w:lineRule="auto"/>
        <w:rPr>
          <w:rFonts w:hint="eastAsia"/>
          <w:szCs w:val="24"/>
        </w:rPr>
      </w:pPr>
      <w:bookmarkStart w:id="146" w:name="_Toc20496"/>
      <w:r>
        <w:rPr>
          <w:rFonts w:hint="eastAsia"/>
          <w:szCs w:val="24"/>
        </w:rPr>
        <w:t>停车场接入服务平台</w:t>
      </w:r>
      <w:bookmarkEnd w:id="146"/>
    </w:p>
    <w:p>
      <w:pPr>
        <w:keepLines w:val="0"/>
        <w:numPr>
          <w:ilvl w:val="0"/>
          <w:numId w:val="0"/>
        </w:numPr>
        <w:kinsoku/>
        <w:wordWrap/>
        <w:overflowPunct/>
        <w:topLinePunct w:val="0"/>
        <w:bidi w:val="0"/>
        <w:adjustRightInd/>
        <w:snapToGrid/>
        <w:spacing w:line="360" w:lineRule="auto"/>
        <w:ind w:firstLine="420" w:firstLineChars="200"/>
        <w:rPr>
          <w:rFonts w:hint="eastAsia" w:ascii="宋体" w:hAnsi="宋体" w:eastAsia="宋体" w:cs="宋体"/>
          <w:szCs w:val="24"/>
        </w:rPr>
      </w:pPr>
      <w:r>
        <w:rPr>
          <w:rFonts w:hint="eastAsia" w:ascii="宋体" w:hAnsi="宋体" w:eastAsia="宋体" w:cs="宋体"/>
          <w:szCs w:val="24"/>
        </w:rPr>
        <w:t>在辽宁ETC发行机构授权下，组织建设并运行维护的停车场接入服务平台。该平台基于大数据、物联网及人工智能相关技术构建，基于辽宁ETC发行机构统一标准要求，分别与停车场（库）管理系统和辽宁高速ETC拓展服务平台进行数据互通互联，实现对停车场（库）统一标准数据采集、汇集与监管及对上报辽宁高速ETC拓展服务平台的ETC交易</w:t>
      </w:r>
      <w:r>
        <w:rPr>
          <w:rFonts w:hint="eastAsia" w:ascii="宋体" w:hAnsi="宋体" w:cs="宋体"/>
          <w:szCs w:val="24"/>
          <w:lang w:val="en-US" w:eastAsia="zh-CN"/>
        </w:rPr>
        <w:t>数据</w:t>
      </w:r>
      <w:r>
        <w:rPr>
          <w:rFonts w:hint="eastAsia" w:ascii="宋体" w:hAnsi="宋体" w:eastAsia="宋体" w:cs="宋体"/>
          <w:szCs w:val="24"/>
        </w:rPr>
        <w:t>进行过滤筛选，提升原有ETC交易业务处理效能，提供未来停车业务拓展数据支撑。</w:t>
      </w:r>
    </w:p>
    <w:p>
      <w:pPr>
        <w:pStyle w:val="31"/>
        <w:keepLines w:val="0"/>
        <w:kinsoku/>
        <w:wordWrap/>
        <w:overflowPunct/>
        <w:topLinePunct w:val="0"/>
        <w:bidi w:val="0"/>
        <w:adjustRightInd/>
        <w:snapToGrid/>
        <w:spacing w:before="156" w:after="156" w:line="360" w:lineRule="auto"/>
        <w:rPr>
          <w:rFonts w:hint="eastAsia"/>
          <w:szCs w:val="24"/>
        </w:rPr>
      </w:pPr>
      <w:bookmarkStart w:id="147" w:name="_Toc19796"/>
      <w:r>
        <w:rPr>
          <w:rFonts w:hint="eastAsia"/>
          <w:szCs w:val="24"/>
        </w:rPr>
        <w:t>停车场(库)信息管理系统</w:t>
      </w:r>
      <w:bookmarkEnd w:id="147"/>
    </w:p>
    <w:p>
      <w:pPr>
        <w:keepLines w:val="0"/>
        <w:numPr>
          <w:ilvl w:val="0"/>
          <w:numId w:val="0"/>
        </w:numPr>
        <w:kinsoku/>
        <w:wordWrap/>
        <w:overflowPunct/>
        <w:topLinePunct w:val="0"/>
        <w:bidi w:val="0"/>
        <w:adjustRightInd/>
        <w:snapToGrid/>
        <w:spacing w:line="360" w:lineRule="auto"/>
        <w:ind w:firstLine="420" w:firstLineChars="200"/>
        <w:rPr>
          <w:rFonts w:hint="eastAsia" w:ascii="宋体" w:hAnsi="宋体" w:eastAsia="宋体" w:cs="宋体"/>
          <w:szCs w:val="24"/>
        </w:rPr>
      </w:pPr>
      <w:r>
        <w:rPr>
          <w:rFonts w:hint="eastAsia" w:ascii="宋体" w:hAnsi="宋体" w:eastAsia="宋体" w:cs="宋体"/>
          <w:szCs w:val="24"/>
        </w:rPr>
        <w:t>各停车场自行采购或建设的停车场</w:t>
      </w:r>
      <w:r>
        <w:rPr>
          <w:rFonts w:hint="eastAsia" w:ascii="宋体" w:hAnsi="宋体" w:cs="宋体"/>
          <w:szCs w:val="24"/>
          <w:lang w:eastAsia="zh-CN"/>
        </w:rPr>
        <w:t>（</w:t>
      </w:r>
      <w:r>
        <w:rPr>
          <w:rFonts w:hint="eastAsia" w:ascii="宋体" w:hAnsi="宋体" w:cs="宋体"/>
          <w:szCs w:val="24"/>
          <w:lang w:val="en-US" w:eastAsia="zh-CN"/>
        </w:rPr>
        <w:t>库</w:t>
      </w:r>
      <w:r>
        <w:rPr>
          <w:rFonts w:hint="eastAsia" w:ascii="宋体" w:hAnsi="宋体" w:cs="宋体"/>
          <w:szCs w:val="24"/>
          <w:lang w:eastAsia="zh-CN"/>
        </w:rPr>
        <w:t>）</w:t>
      </w:r>
      <w:r>
        <w:rPr>
          <w:rFonts w:hint="eastAsia" w:ascii="宋体" w:hAnsi="宋体" w:eastAsia="宋体" w:cs="宋体"/>
          <w:szCs w:val="24"/>
        </w:rPr>
        <w:t>信息管理系统，该系统应满足辽宁ETC发行机构统一标准，实现对停车场（库）内相关信息进行采集、存储、管理与上传至停车场接入服务平台。</w:t>
      </w:r>
    </w:p>
    <w:p>
      <w:pPr>
        <w:pStyle w:val="30"/>
        <w:keepLines w:val="0"/>
        <w:kinsoku/>
        <w:wordWrap/>
        <w:overflowPunct/>
        <w:topLinePunct w:val="0"/>
        <w:bidi w:val="0"/>
        <w:adjustRightInd/>
        <w:snapToGrid/>
        <w:spacing w:before="312" w:after="312" w:line="360" w:lineRule="auto"/>
        <w:rPr>
          <w:rFonts w:hint="eastAsia"/>
          <w:szCs w:val="24"/>
        </w:rPr>
      </w:pPr>
      <w:bookmarkStart w:id="148" w:name="_Toc27695"/>
      <w:r>
        <w:rPr>
          <w:rFonts w:hint="eastAsia"/>
          <w:szCs w:val="24"/>
        </w:rPr>
        <w:t>总体要求</w:t>
      </w:r>
      <w:bookmarkEnd w:id="148"/>
    </w:p>
    <w:p>
      <w:pPr>
        <w:pStyle w:val="31"/>
        <w:keepLines w:val="0"/>
        <w:kinsoku/>
        <w:wordWrap/>
        <w:overflowPunct/>
        <w:topLinePunct w:val="0"/>
        <w:bidi w:val="0"/>
        <w:adjustRightInd/>
        <w:snapToGrid/>
        <w:spacing w:before="156" w:after="156" w:line="360" w:lineRule="auto"/>
        <w:rPr>
          <w:rFonts w:hint="eastAsia"/>
          <w:szCs w:val="24"/>
        </w:rPr>
      </w:pPr>
      <w:bookmarkStart w:id="149" w:name="_Toc16157"/>
      <w:r>
        <w:rPr>
          <w:rFonts w:hint="eastAsia"/>
          <w:szCs w:val="24"/>
        </w:rPr>
        <w:t>停车场（库）服务商要求</w:t>
      </w:r>
      <w:bookmarkEnd w:id="149"/>
    </w:p>
    <w:p>
      <w:pPr>
        <w:keepLines w:val="0"/>
        <w:numPr>
          <w:ilvl w:val="0"/>
          <w:numId w:val="0"/>
        </w:numPr>
        <w:kinsoku/>
        <w:wordWrap/>
        <w:overflowPunct/>
        <w:topLinePunct w:val="0"/>
        <w:bidi w:val="0"/>
        <w:adjustRightInd/>
        <w:snapToGrid/>
        <w:spacing w:line="360" w:lineRule="auto"/>
        <w:ind w:firstLine="420" w:firstLineChars="200"/>
        <w:rPr>
          <w:rFonts w:hint="eastAsia" w:ascii="宋体" w:hAnsi="宋体" w:eastAsia="宋体" w:cs="宋体"/>
          <w:szCs w:val="24"/>
        </w:rPr>
      </w:pPr>
      <w:r>
        <w:rPr>
          <w:rFonts w:hint="eastAsia" w:ascii="宋体" w:hAnsi="宋体" w:eastAsia="宋体" w:cs="宋体"/>
          <w:szCs w:val="24"/>
        </w:rPr>
        <w:t>停车场（库）服务商应在满足停车场资质、停车场规模</w:t>
      </w:r>
      <w:r>
        <w:rPr>
          <w:rFonts w:hint="eastAsia" w:ascii="宋体" w:hAnsi="宋体" w:cs="宋体"/>
          <w:szCs w:val="24"/>
          <w:lang w:val="en-US" w:eastAsia="zh-CN"/>
        </w:rPr>
        <w:t>和</w:t>
      </w:r>
      <w:r>
        <w:rPr>
          <w:rFonts w:hint="eastAsia" w:ascii="宋体" w:hAnsi="宋体" w:eastAsia="宋体" w:cs="宋体"/>
          <w:szCs w:val="24"/>
        </w:rPr>
        <w:t>停车场软硬件设施的准入条件后，方可申请接入辽宁高速ETC</w:t>
      </w:r>
      <w:r>
        <w:rPr>
          <w:rFonts w:hint="eastAsia" w:ascii="宋体" w:hAnsi="宋体" w:cs="宋体"/>
          <w:szCs w:val="24"/>
          <w:lang w:val="en-US" w:eastAsia="zh-CN"/>
        </w:rPr>
        <w:t>智慧</w:t>
      </w:r>
      <w:r>
        <w:rPr>
          <w:rFonts w:hint="eastAsia" w:ascii="宋体" w:hAnsi="宋体" w:eastAsia="宋体" w:cs="宋体"/>
          <w:szCs w:val="24"/>
        </w:rPr>
        <w:t>停车场服务。</w:t>
      </w:r>
    </w:p>
    <w:p>
      <w:pPr>
        <w:pStyle w:val="31"/>
        <w:keepLines w:val="0"/>
        <w:kinsoku/>
        <w:wordWrap/>
        <w:overflowPunct/>
        <w:topLinePunct w:val="0"/>
        <w:bidi w:val="0"/>
        <w:adjustRightInd/>
        <w:snapToGrid/>
        <w:spacing w:before="156" w:after="156" w:line="360" w:lineRule="auto"/>
        <w:rPr>
          <w:rFonts w:hint="eastAsia"/>
          <w:szCs w:val="24"/>
          <w:highlight w:val="none"/>
        </w:rPr>
      </w:pPr>
      <w:bookmarkStart w:id="150" w:name="_Toc7561"/>
      <w:r>
        <w:rPr>
          <w:rFonts w:hint="eastAsia"/>
          <w:szCs w:val="24"/>
          <w:highlight w:val="none"/>
        </w:rPr>
        <w:t>停车场（库）进出口VI要求</w:t>
      </w:r>
      <w:bookmarkEnd w:id="150"/>
    </w:p>
    <w:p>
      <w:pPr>
        <w:keepLines w:val="0"/>
        <w:numPr>
          <w:ilvl w:val="0"/>
          <w:numId w:val="0"/>
        </w:numPr>
        <w:kinsoku/>
        <w:wordWrap/>
        <w:overflowPunct/>
        <w:topLinePunct w:val="0"/>
        <w:bidi w:val="0"/>
        <w:adjustRightInd/>
        <w:snapToGrid/>
        <w:spacing w:line="360" w:lineRule="auto"/>
        <w:ind w:firstLine="420" w:firstLineChars="200"/>
        <w:rPr>
          <w:rFonts w:hint="eastAsia" w:ascii="宋体" w:hAnsi="宋体" w:eastAsia="宋体" w:cs="宋体"/>
          <w:szCs w:val="24"/>
          <w:highlight w:val="none"/>
        </w:rPr>
      </w:pPr>
      <w:r>
        <w:rPr>
          <w:rFonts w:hint="eastAsia" w:ascii="宋体" w:hAnsi="宋体" w:eastAsia="宋体" w:cs="宋体"/>
          <w:szCs w:val="24"/>
          <w:highlight w:val="none"/>
        </w:rPr>
        <w:t>停车场（库）应结合自身建设实际情况，按</w:t>
      </w:r>
      <w:r>
        <w:rPr>
          <w:rFonts w:hint="eastAsia" w:ascii="宋体" w:hAnsi="宋体" w:cs="宋体"/>
          <w:szCs w:val="24"/>
          <w:highlight w:val="none"/>
          <w:lang w:val="en-US" w:eastAsia="zh-CN"/>
        </w:rPr>
        <w:t>照</w:t>
      </w:r>
      <w:r>
        <w:rPr>
          <w:rFonts w:hint="eastAsia" w:ascii="宋体" w:hAnsi="宋体" w:eastAsia="宋体" w:cs="宋体"/>
          <w:szCs w:val="24"/>
          <w:highlight w:val="none"/>
        </w:rPr>
        <w:t>《ETC智慧停车场 视觉识别要求》</w:t>
      </w:r>
      <w:r>
        <w:rPr>
          <w:rFonts w:hint="eastAsia" w:ascii="宋体" w:hAnsi="宋体" w:cs="宋体"/>
          <w:szCs w:val="24"/>
          <w:highlight w:val="none"/>
          <w:lang w:val="en-US" w:eastAsia="zh-CN"/>
        </w:rPr>
        <w:t>中的要求</w:t>
      </w:r>
      <w:r>
        <w:rPr>
          <w:rFonts w:hint="eastAsia" w:ascii="宋体" w:hAnsi="宋体" w:eastAsia="宋体" w:cs="宋体"/>
          <w:szCs w:val="24"/>
          <w:highlight w:val="none"/>
        </w:rPr>
        <w:t>在进出口处实施设置ETC VI标识。保障接入辽宁高速ETC</w:t>
      </w:r>
      <w:r>
        <w:rPr>
          <w:rFonts w:hint="eastAsia" w:ascii="宋体" w:hAnsi="宋体" w:cs="宋体"/>
          <w:szCs w:val="24"/>
          <w:highlight w:val="none"/>
          <w:lang w:val="en-US" w:eastAsia="zh-CN"/>
        </w:rPr>
        <w:t>智慧</w:t>
      </w:r>
      <w:r>
        <w:rPr>
          <w:rFonts w:hint="eastAsia" w:ascii="宋体" w:hAnsi="宋体" w:eastAsia="宋体" w:cs="宋体"/>
          <w:szCs w:val="24"/>
          <w:highlight w:val="none"/>
        </w:rPr>
        <w:t>停车场，能够为停车客户提供统一</w:t>
      </w:r>
      <w:r>
        <w:rPr>
          <w:rFonts w:hint="eastAsia" w:ascii="宋体" w:hAnsi="宋体" w:cs="宋体"/>
          <w:szCs w:val="24"/>
          <w:highlight w:val="none"/>
          <w:lang w:val="en-US" w:eastAsia="zh-CN"/>
        </w:rPr>
        <w:t>且</w:t>
      </w:r>
      <w:r>
        <w:rPr>
          <w:rFonts w:hint="eastAsia" w:ascii="宋体" w:hAnsi="宋体" w:eastAsia="宋体" w:cs="宋体"/>
          <w:szCs w:val="24"/>
          <w:highlight w:val="none"/>
        </w:rPr>
        <w:t>规范的ETC停车与支付视觉引导服务。</w:t>
      </w:r>
    </w:p>
    <w:p>
      <w:pPr>
        <w:pStyle w:val="31"/>
        <w:keepLines w:val="0"/>
        <w:kinsoku/>
        <w:wordWrap/>
        <w:overflowPunct/>
        <w:topLinePunct w:val="0"/>
        <w:bidi w:val="0"/>
        <w:adjustRightInd/>
        <w:snapToGrid/>
        <w:spacing w:before="156" w:after="156" w:line="360" w:lineRule="auto"/>
        <w:rPr>
          <w:rFonts w:hint="eastAsia"/>
          <w:szCs w:val="24"/>
          <w:highlight w:val="none"/>
        </w:rPr>
      </w:pPr>
      <w:bookmarkStart w:id="151" w:name="_Toc2958"/>
      <w:r>
        <w:rPr>
          <w:rFonts w:hint="eastAsia"/>
          <w:szCs w:val="24"/>
          <w:highlight w:val="none"/>
        </w:rPr>
        <w:t>停车场（库）ETC天线设备要求</w:t>
      </w:r>
      <w:bookmarkEnd w:id="151"/>
    </w:p>
    <w:p>
      <w:pPr>
        <w:keepLines w:val="0"/>
        <w:numPr>
          <w:ilvl w:val="0"/>
          <w:numId w:val="0"/>
        </w:numPr>
        <w:kinsoku/>
        <w:wordWrap/>
        <w:overflowPunct/>
        <w:topLinePunct w:val="0"/>
        <w:bidi w:val="0"/>
        <w:adjustRightInd/>
        <w:snapToGrid/>
        <w:spacing w:line="360" w:lineRule="auto"/>
        <w:ind w:firstLine="420" w:firstLineChars="200"/>
        <w:rPr>
          <w:rFonts w:hint="eastAsia" w:ascii="宋体" w:hAnsi="宋体" w:eastAsia="宋体" w:cs="宋体"/>
          <w:szCs w:val="24"/>
          <w:highlight w:val="none"/>
        </w:rPr>
      </w:pPr>
      <w:r>
        <w:rPr>
          <w:rFonts w:hint="eastAsia" w:ascii="宋体" w:hAnsi="宋体" w:eastAsia="宋体" w:cs="宋体"/>
          <w:szCs w:val="24"/>
          <w:highlight w:val="none"/>
        </w:rPr>
        <w:t>停车场（库）ETC天线设备应满足</w:t>
      </w:r>
      <w:r>
        <w:rPr>
          <w:rFonts w:hint="eastAsia" w:ascii="宋体" w:hAnsi="宋体" w:cs="宋体"/>
          <w:szCs w:val="24"/>
          <w:highlight w:val="none"/>
          <w:lang w:eastAsia="zh-CN"/>
        </w:rPr>
        <w:t>《ETC</w:t>
      </w:r>
      <w:r>
        <w:rPr>
          <w:rFonts w:hint="eastAsia" w:ascii="宋体" w:hAnsi="宋体" w:cs="宋体"/>
          <w:szCs w:val="24"/>
          <w:highlight w:val="none"/>
          <w:lang w:val="en-US" w:eastAsia="zh-CN"/>
        </w:rPr>
        <w:t>智慧</w:t>
      </w:r>
      <w:r>
        <w:rPr>
          <w:rFonts w:hint="eastAsia" w:ascii="宋体" w:hAnsi="宋体" w:cs="宋体"/>
          <w:szCs w:val="24"/>
          <w:highlight w:val="none"/>
          <w:lang w:eastAsia="zh-CN"/>
        </w:rPr>
        <w:t>停车场 ETC天线设备要求》</w:t>
      </w:r>
      <w:r>
        <w:rPr>
          <w:rFonts w:hint="eastAsia" w:ascii="宋体" w:hAnsi="宋体" w:eastAsia="宋体" w:cs="宋体"/>
          <w:szCs w:val="24"/>
          <w:highlight w:val="none"/>
        </w:rPr>
        <w:t>在技术参数、功能、数据安全、安装能力</w:t>
      </w:r>
      <w:r>
        <w:rPr>
          <w:rFonts w:hint="eastAsia" w:ascii="宋体" w:hAnsi="宋体" w:cs="宋体"/>
          <w:szCs w:val="24"/>
          <w:highlight w:val="none"/>
          <w:lang w:val="en-US" w:eastAsia="zh-CN"/>
        </w:rPr>
        <w:t>和</w:t>
      </w:r>
      <w:r>
        <w:rPr>
          <w:rFonts w:hint="eastAsia" w:ascii="宋体" w:hAnsi="宋体" w:eastAsia="宋体" w:cs="宋体"/>
          <w:szCs w:val="24"/>
          <w:highlight w:val="none"/>
        </w:rPr>
        <w:t>售后服务等方面的要求。确保停车场ETC车辆识别</w:t>
      </w:r>
      <w:r>
        <w:rPr>
          <w:rFonts w:hint="eastAsia" w:ascii="宋体" w:hAnsi="宋体" w:cs="宋体"/>
          <w:szCs w:val="24"/>
          <w:highlight w:val="none"/>
          <w:lang w:val="en-US" w:eastAsia="zh-CN"/>
        </w:rPr>
        <w:t>和</w:t>
      </w:r>
      <w:r>
        <w:rPr>
          <w:rFonts w:hint="eastAsia" w:ascii="宋体" w:hAnsi="宋体" w:eastAsia="宋体" w:cs="宋体"/>
          <w:szCs w:val="24"/>
          <w:highlight w:val="none"/>
        </w:rPr>
        <w:t>扣费等服务场景的各项性能指标要求，保障良好的用户体验与支付数据质量。</w:t>
      </w:r>
    </w:p>
    <w:p>
      <w:pPr>
        <w:pStyle w:val="31"/>
        <w:keepLines w:val="0"/>
        <w:kinsoku/>
        <w:wordWrap/>
        <w:overflowPunct/>
        <w:topLinePunct w:val="0"/>
        <w:bidi w:val="0"/>
        <w:adjustRightInd/>
        <w:snapToGrid/>
        <w:spacing w:before="156" w:after="156" w:line="360" w:lineRule="auto"/>
        <w:rPr>
          <w:rFonts w:hint="eastAsia"/>
          <w:szCs w:val="24"/>
          <w:highlight w:val="none"/>
        </w:rPr>
      </w:pPr>
      <w:bookmarkStart w:id="152" w:name="_Toc14543"/>
      <w:r>
        <w:rPr>
          <w:rFonts w:hint="eastAsia"/>
          <w:szCs w:val="24"/>
          <w:highlight w:val="none"/>
        </w:rPr>
        <w:t>停车场（库）</w:t>
      </w:r>
      <w:r>
        <w:rPr>
          <w:rFonts w:hint="eastAsia"/>
          <w:szCs w:val="24"/>
          <w:highlight w:val="none"/>
          <w:lang w:val="en-US" w:eastAsia="zh-CN"/>
        </w:rPr>
        <w:t>信息</w:t>
      </w:r>
      <w:r>
        <w:rPr>
          <w:rFonts w:hint="eastAsia"/>
          <w:szCs w:val="24"/>
          <w:highlight w:val="none"/>
        </w:rPr>
        <w:t>管理系统功能要求</w:t>
      </w:r>
      <w:bookmarkEnd w:id="152"/>
    </w:p>
    <w:p>
      <w:pPr>
        <w:keepLines w:val="0"/>
        <w:numPr>
          <w:ilvl w:val="0"/>
          <w:numId w:val="0"/>
        </w:numPr>
        <w:kinsoku/>
        <w:wordWrap/>
        <w:overflowPunct/>
        <w:topLinePunct w:val="0"/>
        <w:bidi w:val="0"/>
        <w:adjustRightInd/>
        <w:snapToGrid/>
        <w:spacing w:line="360" w:lineRule="auto"/>
        <w:ind w:firstLine="420" w:firstLineChars="200"/>
        <w:rPr>
          <w:rFonts w:hint="eastAsia" w:ascii="宋体" w:hAnsi="宋体" w:eastAsia="宋体" w:cs="宋体"/>
          <w:szCs w:val="24"/>
          <w:highlight w:val="none"/>
        </w:rPr>
      </w:pPr>
      <w:r>
        <w:rPr>
          <w:rFonts w:hint="eastAsia" w:ascii="宋体" w:hAnsi="宋体" w:eastAsia="宋体" w:cs="宋体"/>
          <w:szCs w:val="24"/>
          <w:highlight w:val="none"/>
        </w:rPr>
        <w:t>停车场（库）信息管理系统应满足</w:t>
      </w:r>
      <w:r>
        <w:rPr>
          <w:rFonts w:hint="eastAsia" w:ascii="宋体" w:hAnsi="宋体" w:cs="宋体"/>
          <w:szCs w:val="24"/>
          <w:highlight w:val="none"/>
          <w:lang w:eastAsia="zh-CN"/>
        </w:rPr>
        <w:t>《ETC智慧停车场 信息系统建设要求》</w:t>
      </w:r>
      <w:r>
        <w:rPr>
          <w:rFonts w:hint="eastAsia" w:ascii="宋体" w:hAnsi="宋体" w:eastAsia="宋体" w:cs="宋体"/>
          <w:szCs w:val="24"/>
          <w:highlight w:val="none"/>
        </w:rPr>
        <w:t>在系统账号与权限、停车数据查询与统计、数据存储与传输</w:t>
      </w:r>
      <w:r>
        <w:rPr>
          <w:rFonts w:hint="eastAsia" w:ascii="宋体" w:hAnsi="宋体" w:cs="宋体"/>
          <w:szCs w:val="24"/>
          <w:highlight w:val="none"/>
          <w:lang w:val="en-US" w:eastAsia="zh-CN"/>
        </w:rPr>
        <w:t>和</w:t>
      </w:r>
      <w:r>
        <w:rPr>
          <w:rFonts w:hint="eastAsia" w:ascii="宋体" w:hAnsi="宋体" w:eastAsia="宋体" w:cs="宋体"/>
          <w:szCs w:val="24"/>
          <w:highlight w:val="none"/>
        </w:rPr>
        <w:t>系统时钟同步等功能与性能要求以及与停车场接入服务平台数据交互技术要求。保障停车场（库）</w:t>
      </w:r>
      <w:r>
        <w:rPr>
          <w:rFonts w:hint="eastAsia" w:ascii="宋体" w:hAnsi="宋体" w:cs="宋体"/>
          <w:szCs w:val="24"/>
          <w:highlight w:val="none"/>
          <w:lang w:val="en-US" w:eastAsia="zh-CN"/>
        </w:rPr>
        <w:t>信息</w:t>
      </w:r>
      <w:r>
        <w:rPr>
          <w:rFonts w:hint="eastAsia" w:ascii="宋体" w:hAnsi="宋体" w:eastAsia="宋体" w:cs="宋体"/>
          <w:szCs w:val="24"/>
          <w:highlight w:val="none"/>
        </w:rPr>
        <w:t>管理系统功能满足辽宁高速ETC</w:t>
      </w:r>
      <w:r>
        <w:rPr>
          <w:rFonts w:hint="eastAsia" w:ascii="宋体" w:hAnsi="宋体" w:cs="宋体"/>
          <w:szCs w:val="24"/>
          <w:highlight w:val="none"/>
          <w:lang w:val="en-US" w:eastAsia="zh-CN"/>
        </w:rPr>
        <w:t>智慧</w:t>
      </w:r>
      <w:r>
        <w:rPr>
          <w:rFonts w:hint="eastAsia" w:ascii="宋体" w:hAnsi="宋体" w:eastAsia="宋体" w:cs="宋体"/>
          <w:szCs w:val="24"/>
          <w:highlight w:val="none"/>
        </w:rPr>
        <w:t>停车业务当前及未来业务发展需求。</w:t>
      </w:r>
    </w:p>
    <w:p>
      <w:pPr>
        <w:pStyle w:val="31"/>
        <w:keepLines w:val="0"/>
        <w:kinsoku/>
        <w:wordWrap/>
        <w:overflowPunct/>
        <w:topLinePunct w:val="0"/>
        <w:bidi w:val="0"/>
        <w:adjustRightInd/>
        <w:snapToGrid/>
        <w:spacing w:before="156" w:after="156" w:line="360" w:lineRule="auto"/>
        <w:rPr>
          <w:rFonts w:hint="eastAsia"/>
          <w:szCs w:val="24"/>
          <w:highlight w:val="none"/>
        </w:rPr>
      </w:pPr>
      <w:bookmarkStart w:id="153" w:name="_Toc20878"/>
      <w:r>
        <w:rPr>
          <w:rFonts w:hint="eastAsia"/>
          <w:szCs w:val="24"/>
          <w:highlight w:val="none"/>
        </w:rPr>
        <w:t>停车场（库）</w:t>
      </w:r>
      <w:r>
        <w:rPr>
          <w:rFonts w:hint="eastAsia"/>
          <w:szCs w:val="24"/>
          <w:highlight w:val="none"/>
          <w:lang w:val="en-US" w:eastAsia="zh-CN"/>
        </w:rPr>
        <w:t>信息</w:t>
      </w:r>
      <w:r>
        <w:rPr>
          <w:rFonts w:hint="eastAsia"/>
          <w:szCs w:val="24"/>
          <w:highlight w:val="none"/>
        </w:rPr>
        <w:t>管理系统数据交互参考</w:t>
      </w:r>
      <w:bookmarkEnd w:id="153"/>
    </w:p>
    <w:p>
      <w:pPr>
        <w:keepLines w:val="0"/>
        <w:numPr>
          <w:ilvl w:val="0"/>
          <w:numId w:val="0"/>
        </w:numPr>
        <w:kinsoku/>
        <w:wordWrap/>
        <w:overflowPunct/>
        <w:topLinePunct w:val="0"/>
        <w:bidi w:val="0"/>
        <w:adjustRightInd/>
        <w:snapToGrid/>
        <w:spacing w:line="360" w:lineRule="auto"/>
        <w:ind w:firstLine="420" w:firstLineChars="200"/>
        <w:rPr>
          <w:rFonts w:hint="eastAsia"/>
          <w:szCs w:val="24"/>
          <w:highlight w:val="none"/>
        </w:rPr>
      </w:pPr>
      <w:r>
        <w:rPr>
          <w:rFonts w:hint="eastAsia"/>
          <w:szCs w:val="24"/>
          <w:highlight w:val="none"/>
        </w:rPr>
        <w:t>停车场（库）</w:t>
      </w:r>
      <w:r>
        <w:rPr>
          <w:rFonts w:hint="eastAsia"/>
          <w:szCs w:val="24"/>
          <w:highlight w:val="none"/>
          <w:lang w:val="en-US" w:eastAsia="zh-CN"/>
        </w:rPr>
        <w:t>信息</w:t>
      </w:r>
      <w:r>
        <w:rPr>
          <w:rFonts w:hint="eastAsia"/>
          <w:szCs w:val="24"/>
          <w:highlight w:val="none"/>
        </w:rPr>
        <w:t>管理系统在数据交互方面，在</w:t>
      </w:r>
      <w:r>
        <w:rPr>
          <w:rFonts w:hint="eastAsia"/>
          <w:szCs w:val="24"/>
          <w:highlight w:val="none"/>
          <w:lang w:eastAsia="zh-CN"/>
        </w:rPr>
        <w:t>《ETC智慧停车场 数据交互要求》</w:t>
      </w:r>
      <w:r>
        <w:rPr>
          <w:rFonts w:hint="eastAsia"/>
          <w:szCs w:val="24"/>
          <w:highlight w:val="none"/>
        </w:rPr>
        <w:t>中就接入流程、数据</w:t>
      </w:r>
      <w:r>
        <w:rPr>
          <w:rFonts w:hint="eastAsia"/>
          <w:szCs w:val="24"/>
          <w:highlight w:val="none"/>
          <w:lang w:val="en-US" w:eastAsia="zh-CN"/>
        </w:rPr>
        <w:t>传输</w:t>
      </w:r>
      <w:r>
        <w:rPr>
          <w:rFonts w:hint="eastAsia"/>
          <w:szCs w:val="24"/>
          <w:highlight w:val="none"/>
        </w:rPr>
        <w:t>内容</w:t>
      </w:r>
      <w:r>
        <w:rPr>
          <w:rFonts w:hint="eastAsia"/>
          <w:szCs w:val="24"/>
          <w:highlight w:val="none"/>
          <w:lang w:val="en-US" w:eastAsia="zh-CN"/>
        </w:rPr>
        <w:t>和</w:t>
      </w:r>
      <w:r>
        <w:rPr>
          <w:rFonts w:hint="eastAsia"/>
          <w:szCs w:val="24"/>
          <w:highlight w:val="none"/>
        </w:rPr>
        <w:t>协议规则等方面给出了参考。为停车场（库）</w:t>
      </w:r>
      <w:r>
        <w:rPr>
          <w:rFonts w:hint="eastAsia"/>
          <w:szCs w:val="24"/>
          <w:highlight w:val="none"/>
          <w:lang w:val="en-US" w:eastAsia="zh-CN"/>
        </w:rPr>
        <w:t>信息</w:t>
      </w:r>
      <w:r>
        <w:rPr>
          <w:rFonts w:hint="eastAsia"/>
          <w:szCs w:val="24"/>
          <w:highlight w:val="none"/>
        </w:rPr>
        <w:t>管理系统与停车场接入服务平台之间的数据互通互联及停车场接入服务平台业务功能拓展在数据采集方面提供参考依据。</w:t>
      </w:r>
    </w:p>
    <w:p>
      <w:pPr>
        <w:pStyle w:val="31"/>
        <w:keepLines w:val="0"/>
        <w:kinsoku/>
        <w:wordWrap/>
        <w:overflowPunct/>
        <w:topLinePunct w:val="0"/>
        <w:bidi w:val="0"/>
        <w:adjustRightInd/>
        <w:snapToGrid/>
        <w:spacing w:before="156" w:after="156" w:line="360" w:lineRule="auto"/>
        <w:rPr>
          <w:rFonts w:hint="eastAsia"/>
          <w:szCs w:val="24"/>
          <w:highlight w:val="none"/>
        </w:rPr>
      </w:pPr>
      <w:bookmarkStart w:id="154" w:name="_Toc21112"/>
      <w:r>
        <w:rPr>
          <w:rFonts w:hint="eastAsia"/>
          <w:szCs w:val="24"/>
          <w:highlight w:val="none"/>
        </w:rPr>
        <w:t>停车场（库）运维服务要求</w:t>
      </w:r>
      <w:bookmarkEnd w:id="154"/>
    </w:p>
    <w:p>
      <w:pPr>
        <w:keepLines w:val="0"/>
        <w:numPr>
          <w:ilvl w:val="0"/>
          <w:numId w:val="0"/>
        </w:numPr>
        <w:kinsoku/>
        <w:wordWrap/>
        <w:overflowPunct/>
        <w:topLinePunct w:val="0"/>
        <w:bidi w:val="0"/>
        <w:adjustRightInd/>
        <w:snapToGrid/>
        <w:spacing w:line="360" w:lineRule="auto"/>
        <w:ind w:firstLine="420" w:firstLineChars="200"/>
        <w:rPr>
          <w:rFonts w:hint="eastAsia" w:ascii="宋体" w:hAnsi="宋体" w:eastAsia="宋体" w:cs="宋体"/>
          <w:szCs w:val="24"/>
          <w:highlight w:val="none"/>
        </w:rPr>
      </w:pPr>
      <w:r>
        <w:rPr>
          <w:rFonts w:hint="eastAsia" w:ascii="宋体" w:hAnsi="宋体" w:eastAsia="宋体" w:cs="宋体"/>
          <w:szCs w:val="24"/>
          <w:highlight w:val="none"/>
        </w:rPr>
        <w:t>停车场（库）运维服务应满足</w:t>
      </w:r>
      <w:r>
        <w:rPr>
          <w:rFonts w:hint="eastAsia" w:ascii="宋体" w:hAnsi="宋体" w:cs="宋体"/>
          <w:szCs w:val="24"/>
          <w:highlight w:val="none"/>
          <w:lang w:eastAsia="zh-CN"/>
        </w:rPr>
        <w:t>《ETC智慧停车场 运维要求》</w:t>
      </w:r>
      <w:r>
        <w:rPr>
          <w:rFonts w:hint="eastAsia" w:ascii="宋体" w:hAnsi="宋体" w:eastAsia="宋体" w:cs="宋体"/>
          <w:szCs w:val="24"/>
          <w:highlight w:val="none"/>
        </w:rPr>
        <w:t>对围绕ETC停车相关的软硬件设施在运维目标、各方职责、运维标准</w:t>
      </w:r>
      <w:r>
        <w:rPr>
          <w:rFonts w:hint="eastAsia" w:ascii="宋体" w:hAnsi="宋体" w:cs="宋体"/>
          <w:szCs w:val="24"/>
          <w:highlight w:val="none"/>
          <w:lang w:val="en-US" w:eastAsia="zh-CN"/>
        </w:rPr>
        <w:t>和</w:t>
      </w:r>
      <w:r>
        <w:rPr>
          <w:rFonts w:hint="eastAsia" w:ascii="宋体" w:hAnsi="宋体" w:eastAsia="宋体" w:cs="宋体"/>
          <w:szCs w:val="24"/>
          <w:highlight w:val="none"/>
        </w:rPr>
        <w:t>运维内容的规范要求。保障停车场（库）ETC停车相关软硬件设施可长期、稳定</w:t>
      </w:r>
      <w:r>
        <w:rPr>
          <w:rFonts w:hint="eastAsia" w:ascii="宋体" w:hAnsi="宋体" w:cs="宋体"/>
          <w:szCs w:val="24"/>
          <w:highlight w:val="none"/>
          <w:lang w:val="en-US" w:eastAsia="zh-CN"/>
        </w:rPr>
        <w:t>和</w:t>
      </w:r>
      <w:r>
        <w:rPr>
          <w:rFonts w:hint="eastAsia" w:ascii="宋体" w:hAnsi="宋体" w:eastAsia="宋体" w:cs="宋体"/>
          <w:szCs w:val="24"/>
          <w:highlight w:val="none"/>
        </w:rPr>
        <w:t>安全运行，有效支撑停车场（库）日常业务的正常运行。</w:t>
      </w:r>
    </w:p>
    <w:p>
      <w:pPr>
        <w:pStyle w:val="31"/>
        <w:keepLines w:val="0"/>
        <w:kinsoku/>
        <w:wordWrap/>
        <w:overflowPunct/>
        <w:topLinePunct w:val="0"/>
        <w:bidi w:val="0"/>
        <w:adjustRightInd/>
        <w:snapToGrid/>
        <w:spacing w:before="156" w:after="156" w:line="360" w:lineRule="auto"/>
        <w:rPr>
          <w:rFonts w:hint="eastAsia"/>
          <w:szCs w:val="24"/>
        </w:rPr>
      </w:pPr>
      <w:bookmarkStart w:id="155" w:name="_Toc10298"/>
      <w:r>
        <w:rPr>
          <w:rFonts w:hint="eastAsia"/>
          <w:szCs w:val="24"/>
        </w:rPr>
        <w:t>停车场接入服务平台系统建设参考</w:t>
      </w:r>
      <w:bookmarkEnd w:id="155"/>
    </w:p>
    <w:p>
      <w:pPr>
        <w:keepLines w:val="0"/>
        <w:numPr>
          <w:ilvl w:val="0"/>
          <w:numId w:val="0"/>
        </w:numPr>
        <w:kinsoku/>
        <w:wordWrap/>
        <w:overflowPunct/>
        <w:topLinePunct w:val="0"/>
        <w:bidi w:val="0"/>
        <w:adjustRightInd/>
        <w:snapToGrid/>
        <w:spacing w:line="360" w:lineRule="auto"/>
        <w:ind w:firstLine="420" w:firstLineChars="200"/>
        <w:rPr>
          <w:rFonts w:hint="eastAsia"/>
          <w:szCs w:val="24"/>
        </w:rPr>
      </w:pPr>
      <w:r>
        <w:rPr>
          <w:rFonts w:hint="eastAsia"/>
          <w:szCs w:val="24"/>
        </w:rPr>
        <w:t>停车场接入服务平台建设</w:t>
      </w:r>
      <w:r>
        <w:rPr>
          <w:rFonts w:hint="eastAsia"/>
          <w:szCs w:val="24"/>
          <w:lang w:val="en-US" w:eastAsia="zh-CN"/>
        </w:rPr>
        <w:t>宜参考</w:t>
      </w:r>
      <w:r>
        <w:rPr>
          <w:rFonts w:hint="eastAsia" w:ascii="宋体" w:hAnsi="宋体" w:cs="宋体"/>
          <w:szCs w:val="24"/>
          <w:highlight w:val="none"/>
          <w:lang w:eastAsia="zh-CN"/>
        </w:rPr>
        <w:t>《ETC智慧停车场 信息系统建设要求》</w:t>
      </w:r>
      <w:r>
        <w:rPr>
          <w:rFonts w:hint="eastAsia"/>
          <w:szCs w:val="24"/>
        </w:rPr>
        <w:t>中对系统设计目标、建设思路、建设原则、系统架构设计、系统功能设计、技术路线选型及建设基础保障等方面</w:t>
      </w:r>
      <w:r>
        <w:rPr>
          <w:rFonts w:hint="eastAsia"/>
          <w:szCs w:val="24"/>
          <w:lang w:val="en-US" w:eastAsia="zh-CN"/>
        </w:rPr>
        <w:t>的建议</w:t>
      </w:r>
      <w:r>
        <w:rPr>
          <w:rFonts w:hint="eastAsia"/>
          <w:szCs w:val="24"/>
        </w:rPr>
        <w:t>。</w:t>
      </w:r>
      <w:bookmarkEnd w:id="36"/>
      <w:bookmarkEnd w:id="37"/>
    </w:p>
    <w:p>
      <w:pPr>
        <w:pStyle w:val="35"/>
        <w:keepLines w:val="0"/>
        <w:framePr w:w="3420" w:wrap="around" w:vAnchor="text" w:hAnchor="page" w:x="4582" w:y="225"/>
        <w:kinsoku/>
        <w:wordWrap/>
        <w:overflowPunct/>
        <w:topLinePunct w:val="0"/>
        <w:bidi w:val="0"/>
        <w:adjustRightInd/>
        <w:snapToGrid/>
        <w:spacing w:line="312" w:lineRule="auto"/>
        <w:jc w:val="center"/>
      </w:pPr>
      <w:r>
        <w:t>________________________________</w:t>
      </w:r>
    </w:p>
    <w:p>
      <w:pPr>
        <w:keepLines w:val="0"/>
        <w:kinsoku/>
        <w:wordWrap/>
        <w:overflowPunct/>
        <w:topLinePunct w:val="0"/>
        <w:bidi w:val="0"/>
        <w:adjustRightInd/>
        <w:snapToGrid/>
        <w:spacing w:line="312" w:lineRule="auto"/>
        <w:rPr>
          <w:rFonts w:hint="eastAsia" w:eastAsia="宋体"/>
          <w:lang w:val="en-US" w:eastAsia="zh-CN"/>
        </w:rPr>
      </w:pPr>
    </w:p>
    <w:sectPr>
      <w:headerReference r:id="rId12" w:type="default"/>
      <w:footerReference r:id="rId14" w:type="default"/>
      <w:headerReference r:id="rId13" w:type="even"/>
      <w:footerReference r:id="rId15" w:type="even"/>
      <w:pgSz w:w="11906" w:h="16838"/>
      <w:pgMar w:top="1417" w:right="1134" w:bottom="1134" w:left="1417" w:header="1418" w:footer="1134" w:gutter="0"/>
      <w:pgNumType w:fmt="decimal" w:start="1"/>
      <w:cols w:space="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8"/>
                            <w:rPr>
                              <w:rFonts w:hint="eastAsia"/>
                            </w:rPr>
                          </w:pPr>
                          <w:r>
                            <w:rPr>
                              <w:rFonts w:hint="eastAsia"/>
                            </w:rPr>
                            <w:t>Ⅲ</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pPr>
                      <w:pStyle w:val="38"/>
                      <w:rPr>
                        <w:rFonts w:hint="eastAsia"/>
                      </w:rPr>
                    </w:pPr>
                    <w:r>
                      <w:rPr>
                        <w:rFonts w:hint="eastAsia"/>
                      </w:rPr>
                      <w:t>Ⅲ</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mc:AlternateContent>
        <mc:Choice Requires="wps">
          <w:drawing>
            <wp:anchor distT="0" distB="0" distL="114300" distR="114300" simplePos="0" relativeHeight="251659264" behindDoc="0" locked="0" layoutInCell="1" allowOverlap="1">
              <wp:simplePos x="0" y="0"/>
              <wp:positionH relativeFrom="margin">
                <wp:posOffset>5721985</wp:posOffset>
              </wp:positionH>
              <wp:positionV relativeFrom="paragraph">
                <wp:posOffset>6985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left:450.55pt;margin-top:0.55pt;height:144pt;width:144pt;mso-position-horizontal-relative:margin;mso-wrap-style:none;z-index:251659264;mso-width-relative:page;mso-height-relative:page;" filled="f" stroked="f" coordsize="21600,21600" o:gfxdata="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48AnDTAAAACgEAAA8AAAAAAAAAAQAgAAAAIgAAAGRycy9kb3ducmV2&#10;LnhtbFBLAQIUABQAAAAIAIdO4kDkov7PyAEAAJkDAAAOAAAAAAAAAAEAIAAAACIBAABkcnMvZTJv&#10;RG9jLnhtbFBLBQYAAAAABgAGAFkBAABcBQAAAAA=&#10;">
              <v:fill on="f" focussize="0,0"/>
              <v:stroke on="f"/>
              <v:imagedata o:title=""/>
              <o:lock v:ext="edit" aspectratio="f"/>
              <v:textbox inset="0mm,0mm,0mm,0mm" style="mso-fit-shape-to-text:t;">
                <w:txbxContent>
                  <w:p>
                    <w:pPr>
                      <w:pStyle w:val="4"/>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rPr>
        <w:sz w:val="18"/>
      </w:rPr>
      <mc:AlternateContent>
        <mc:Choice Requires="wps">
          <w:drawing>
            <wp:anchor distT="0" distB="0" distL="114300" distR="114300" simplePos="0" relativeHeight="251670528" behindDoc="0" locked="0" layoutInCell="1" allowOverlap="1">
              <wp:simplePos x="0" y="0"/>
              <wp:positionH relativeFrom="margin">
                <wp:align>left</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8"/>
                            <w:rPr>
                              <w:rFonts w:hint="eastAsia"/>
                            </w:rPr>
                          </w:pPr>
                          <w:r>
                            <w:rPr>
                              <w:rFonts w:hint="eastAsia"/>
                            </w:rPr>
                            <w:t>Ⅲ</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pStyle w:val="38"/>
                      <w:rPr>
                        <w:rFonts w:hint="eastAsia"/>
                      </w:rPr>
                    </w:pPr>
                    <w:r>
                      <w:rPr>
                        <w:rFonts w:hint="eastAsia"/>
                      </w:rPr>
                      <w:t>Ⅲ</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13970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9"/>
                          </w:pPr>
                          <w:r>
                            <w:fldChar w:fldCharType="begin"/>
                          </w:r>
                          <w:r>
                            <w:instrText xml:space="preserve"> PAGE  \* MERGEFORMAT </w:instrText>
                          </w:r>
                          <w:r>
                            <w:fldChar w:fldCharType="separate"/>
                          </w:r>
                          <w:r>
                            <w:t>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1.1pt;height:144pt;width:144pt;mso-position-horizontal:left;mso-position-horizontal-relative:margin;mso-wrap-style:none;z-index:251660288;mso-width-relative:page;mso-height-relative:page;" filled="f" stroked="f" coordsize="21600,21600" o:gfxdata="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veMdW0QAAAAYBAAAPAAAAAAAAAAEAIAAAACIAAABkcnMvZG93bnJldi54&#10;bWxQSwECFAAUAAAACACHTuJANJL6ScgBAACZAwAADgAAAAAAAAABACAAAAAgAQAAZHJzL2Uyb0Rv&#10;Yy54bWxQSwUGAAAAAAYABgBZAQAAWgUAAAAA&#10;">
              <v:fill on="f" focussize="0,0"/>
              <v:stroke on="f"/>
              <v:imagedata o:title=""/>
              <o:lock v:ext="edit" aspectratio="f"/>
              <v:textbox inset="0mm,0mm,0mm,0mm" style="mso-fit-shape-to-text:t;">
                <w:txbxContent>
                  <w:p>
                    <w:pPr>
                      <w:pStyle w:val="39"/>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rPr>
        <w:sz w:val="18"/>
      </w:rPr>
      <mc:AlternateContent>
        <mc:Choice Requires="wps">
          <w:drawing>
            <wp:anchor distT="0" distB="0" distL="114300" distR="114300" simplePos="0" relativeHeight="251668480" behindDoc="0" locked="0" layoutInCell="1" allowOverlap="1">
              <wp:simplePos x="0" y="0"/>
              <wp:positionH relativeFrom="margin">
                <wp:align>left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8"/>
                            <w:rPr>
                              <w:rFonts w:hint="eastAsia"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FvRG8kBAACb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sJbShy3OPHzzx/nX4/nh+8E&#10;fShQH6DGvLuAmWl47wdMnv2Azsx7UNHmLzIiGEd5Txd55ZCIyI9Wy9WqwpDA2HxBfPb0PERIH6S3&#10;JBsNjTi/Iis/foI0ps4puZrzt9qYMkPj/nIgZvaw3PvYY7bSsBsmQjvfnpBPj6NvqMNNp8R8dKhs&#10;3pLZiLOxm41DiHrflTXK9SC8OyRsovSWK4ywU2GcWWE37Vdeij/vJevpn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9EbyQEAAJsDAAAOAAAAAAAAAAEAIAAAAB4BAABkcnMvZTJvRG9j&#10;LnhtbFBLBQYAAAAABgAGAFkBAABZBQAAAAA=&#10;">
              <v:fill on="f" focussize="0,0"/>
              <v:stroke on="f"/>
              <v:imagedata o:title=""/>
              <o:lock v:ext="edit" aspectratio="f"/>
              <v:textbox inset="0mm,0mm,0mm,0mm" style="mso-fit-shape-to-text:t;">
                <w:txbxContent>
                  <w:p>
                    <w:pPr>
                      <w:pStyle w:val="38"/>
                      <w:rPr>
                        <w:rFonts w:hint="eastAsia" w:eastAsia="宋体"/>
                        <w:lang w:val="en-US" w:eastAsia="zh-CN"/>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9"/>
                          </w:pPr>
                          <w:r>
                            <w:fldChar w:fldCharType="begin"/>
                          </w:r>
                          <w:r>
                            <w:instrText xml:space="preserve"> PAGE  \* MERGEFORMAT </w:instrText>
                          </w:r>
                          <w:r>
                            <w:fldChar w:fldCharType="separate"/>
                          </w:r>
                          <w:r>
                            <w:t>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fnvssk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d+e+yyQEAAJsDAAAOAAAAAAAAAAEAIAAAAB4BAABkcnMvZTJvRG9j&#10;LnhtbFBLBQYAAAAABgAGAFkBAABZBQAAAAA=&#10;">
              <v:fill on="f" focussize="0,0"/>
              <v:stroke on="f"/>
              <v:imagedata o:title=""/>
              <o:lock v:ext="edit" aspectratio="f"/>
              <v:textbox inset="0mm,0mm,0mm,0mm" style="mso-fit-shape-to-text:t;">
                <w:txbxContent>
                  <w:p>
                    <w:pPr>
                      <w:pStyle w:val="39"/>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8"/>
                          </w:pPr>
                          <w:r>
                            <w:fldChar w:fldCharType="begin"/>
                          </w:r>
                          <w:r>
                            <w:instrText xml:space="preserve"> PAGE  \* MERGEFORMAT </w:instrText>
                          </w:r>
                          <w:r>
                            <w:fldChar w:fldCharType="separate"/>
                          </w:r>
                          <w:r>
                            <w:t>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tkm6s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2SbqyQEAAJsDAAAOAAAAAAAAAAEAIAAAAB4BAABkcnMvZTJvRG9j&#10;LnhtbFBLBQYAAAAABgAGAFkBAABZBQAAAAA=&#10;">
              <v:fill on="f" focussize="0,0"/>
              <v:stroke on="f"/>
              <v:imagedata o:title=""/>
              <o:lock v:ext="edit" aspectratio="f"/>
              <v:textbox inset="0mm,0mm,0mm,0mm" style="mso-fit-shape-to-text:t;">
                <w:txbxContent>
                  <w:p>
                    <w:pPr>
                      <w:pStyle w:val="38"/>
                    </w:pPr>
                    <w:r>
                      <w:fldChar w:fldCharType="begin"/>
                    </w:r>
                    <w:r>
                      <w:instrText xml:space="preserve"> PAGE  \* MERGEFORMAT </w:instrText>
                    </w:r>
                    <w:r>
                      <w:fldChar w:fldCharType="separate"/>
                    </w:r>
                    <w:r>
                      <w:t>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jc w:val="right"/>
    </w:pPr>
    <w:r>
      <w:t>DB21/T XXXXX—20</w:t>
    </w:r>
    <w:r>
      <w:rPr>
        <w:rFonts w:hint="eastAsia"/>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Bdr>
        <w:bottom w:val="none" w:color="auto" w:sz="0" w:space="0"/>
      </w:pBdr>
    </w:pPr>
    <w:r>
      <w:t>DB</w:t>
    </w:r>
    <w:r>
      <w:rPr>
        <w:rFonts w:hint="eastAsia"/>
      </w:rPr>
      <w:t>21</w:t>
    </w:r>
    <w:r>
      <w:t>/</w:t>
    </w:r>
    <w:r>
      <w:rPr>
        <w:rFonts w:hint="eastAsia"/>
      </w:rPr>
      <w:t>T</w:t>
    </w:r>
    <w:r>
      <w:t xml:space="preserve"> XXXX</w:t>
    </w:r>
    <w:r>
      <w:rPr>
        <w:rFonts w:hAnsi="黑体"/>
      </w:rPr>
      <w:t>—</w:t>
    </w:r>
    <w:r>
      <w:rPr>
        <w:rFonts w:hint="eastAsia"/>
      </w:rPr>
      <w:t>202</w:t>
    </w:r>
    <w:r>
      <w:rPr>
        <w:rFonts w:hint="eastAsia"/>
        <w:lang w:val="en-US" w:eastAsia="zh-CN"/>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Bdr>
        <w:bottom w:val="none" w:color="auto" w:sz="0" w:space="0"/>
      </w:pBdr>
    </w:pPr>
    <w:r>
      <w:t>DB</w:t>
    </w:r>
    <w:r>
      <w:rPr>
        <w:rFonts w:hint="eastAsia"/>
      </w:rPr>
      <w:t>21</w:t>
    </w:r>
    <w:r>
      <w:t>/</w:t>
    </w:r>
    <w:r>
      <w:rPr>
        <w:rFonts w:hint="eastAsia"/>
      </w:rPr>
      <w:t>T</w:t>
    </w:r>
    <w:r>
      <w:t xml:space="preserve"> XXXX</w:t>
    </w:r>
    <w:r>
      <w:rPr>
        <w:rFonts w:hAnsi="黑体"/>
      </w:rPr>
      <w:t>—</w:t>
    </w:r>
    <w:r>
      <w:rPr>
        <w:rFonts w:hint="eastAsia"/>
      </w:rPr>
      <w:t>2020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jc w:val="left"/>
    </w:pPr>
    <w:r>
      <w:t>DB21/T XXXXX—20</w:t>
    </w:r>
    <w:r>
      <w:rPr>
        <w:rFonts w:hint="eastAsia"/>
      </w:rPr>
      <w:t>2</w:t>
    </w:r>
    <w:r>
      <w:rPr>
        <w:rFonts w:hint="eastAsia"/>
        <w:lang w:val="en-US" w:eastAsia="zh-CN"/>
      </w:rPr>
      <w:t>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rPr>
        <w:rFonts w:hint="eastAsia" w:eastAsia="黑体"/>
        <w:lang w:eastAsia="zh-CN"/>
      </w:rPr>
    </w:pPr>
    <w:r>
      <w:t>DB</w:t>
    </w:r>
    <w:r>
      <w:rPr>
        <w:rFonts w:hint="eastAsia"/>
      </w:rPr>
      <w:t>21</w:t>
    </w:r>
    <w:r>
      <w:t>/</w:t>
    </w:r>
    <w:r>
      <w:rPr>
        <w:rFonts w:hint="eastAsia"/>
      </w:rPr>
      <w:t>T</w:t>
    </w:r>
    <w:r>
      <w:t xml:space="preserve"> XXXX</w:t>
    </w:r>
    <w:r>
      <w:rPr>
        <w:rFonts w:hAnsi="黑体"/>
      </w:rPr>
      <w:t>—</w:t>
    </w:r>
    <w:r>
      <w:rPr>
        <w:rFonts w:hint="eastAsia"/>
      </w:rPr>
      <w:t>202</w:t>
    </w:r>
    <w:r>
      <w:rPr>
        <w:rFonts w:hint="eastAsia"/>
        <w:lang w:val="en-US" w:eastAsia="zh-CN"/>
      </w:rPr>
      <w:t>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rPr>
        <w:rFonts w:hint="eastAsia" w:hAnsi="黑体" w:eastAsia="黑体" w:cs="黑体"/>
        <w:lang w:eastAsia="zh-CN"/>
      </w:rPr>
    </w:pPr>
    <w:r>
      <w:rPr>
        <w:rFonts w:hint="eastAsia" w:hAnsi="黑体" w:cs="黑体"/>
      </w:rPr>
      <w:t>DB21/T XXXXX—202</w:t>
    </w:r>
    <w:r>
      <w:rPr>
        <w:rFonts w:hint="eastAsia" w:hAnsi="黑体" w:cs="黑体"/>
        <w:lang w:val="en-US" w:eastAsia="zh-CN"/>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7DD49"/>
    <w:multiLevelType w:val="multilevel"/>
    <w:tmpl w:val="81A7DD49"/>
    <w:lvl w:ilvl="0" w:tentative="0">
      <w:start w:val="1"/>
      <w:numFmt w:val="decimal"/>
      <w:pStyle w:val="3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2"/>
      <w:suff w:val="nothing"/>
      <w:lvlText w:val="%1.%2.%3　"/>
      <w:lvlJc w:val="left"/>
      <w:pPr>
        <w:tabs>
          <w:tab w:val="left" w:pos="0"/>
        </w:tabs>
        <w:ind w:left="0" w:firstLine="0"/>
      </w:pPr>
      <w:rPr>
        <w:rFonts w:hint="eastAsia" w:ascii="黑体" w:hAnsi="Times New Roman" w:eastAsia="黑体"/>
        <w:b w:val="0"/>
        <w:i w:val="0"/>
        <w:sz w:val="21"/>
      </w:rPr>
    </w:lvl>
    <w:lvl w:ilvl="3" w:tentative="0">
      <w:start w:val="1"/>
      <w:numFmt w:val="decimal"/>
      <w:pStyle w:val="33"/>
      <w:suff w:val="nothing"/>
      <w:lvlText w:val="%1.%2.%3.%4　"/>
      <w:lvlJc w:val="left"/>
      <w:pPr>
        <w:tabs>
          <w:tab w:val="left" w:pos="0"/>
        </w:tabs>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F0934EAC"/>
    <w:multiLevelType w:val="singleLevel"/>
    <w:tmpl w:val="F0934EAC"/>
    <w:lvl w:ilvl="0" w:tentative="0">
      <w:start w:val="1"/>
      <w:numFmt w:val="lowerLetter"/>
      <w:suff w:val="space"/>
      <w:lvlText w:val="%1)"/>
      <w:lvlJc w:val="left"/>
    </w:lvl>
  </w:abstractNum>
  <w:abstractNum w:abstractNumId="2">
    <w:nsid w:val="5DB10096"/>
    <w:multiLevelType w:val="singleLevel"/>
    <w:tmpl w:val="5DB10096"/>
    <w:lvl w:ilvl="0" w:tentative="0">
      <w:start w:val="1"/>
      <w:numFmt w:val="lowerLetter"/>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4E6F69"/>
    <w:rsid w:val="00850CB6"/>
    <w:rsid w:val="00DE6157"/>
    <w:rsid w:val="014E68E4"/>
    <w:rsid w:val="038A3684"/>
    <w:rsid w:val="039B5323"/>
    <w:rsid w:val="03DF2754"/>
    <w:rsid w:val="0405374B"/>
    <w:rsid w:val="04A96A57"/>
    <w:rsid w:val="04FC1F10"/>
    <w:rsid w:val="07177D99"/>
    <w:rsid w:val="07C36632"/>
    <w:rsid w:val="080919D2"/>
    <w:rsid w:val="08296328"/>
    <w:rsid w:val="08B326B7"/>
    <w:rsid w:val="08E130D3"/>
    <w:rsid w:val="08E179F2"/>
    <w:rsid w:val="08EC2F2C"/>
    <w:rsid w:val="0906641C"/>
    <w:rsid w:val="0A363B66"/>
    <w:rsid w:val="0C441CBC"/>
    <w:rsid w:val="0C557D75"/>
    <w:rsid w:val="0C6372A3"/>
    <w:rsid w:val="0DBD7E75"/>
    <w:rsid w:val="0DC5500D"/>
    <w:rsid w:val="0DF73327"/>
    <w:rsid w:val="0E0517C0"/>
    <w:rsid w:val="0E354531"/>
    <w:rsid w:val="0E4A42A9"/>
    <w:rsid w:val="0E614AD3"/>
    <w:rsid w:val="0EFE651B"/>
    <w:rsid w:val="0FA3298F"/>
    <w:rsid w:val="10620D30"/>
    <w:rsid w:val="107422F1"/>
    <w:rsid w:val="10A07DEF"/>
    <w:rsid w:val="11664F94"/>
    <w:rsid w:val="116E055D"/>
    <w:rsid w:val="11DB68A2"/>
    <w:rsid w:val="124E3234"/>
    <w:rsid w:val="125C4F2B"/>
    <w:rsid w:val="13510B1A"/>
    <w:rsid w:val="13644981"/>
    <w:rsid w:val="139A3A38"/>
    <w:rsid w:val="14581659"/>
    <w:rsid w:val="162A208D"/>
    <w:rsid w:val="16403F4B"/>
    <w:rsid w:val="165E6292"/>
    <w:rsid w:val="16CE5289"/>
    <w:rsid w:val="17054808"/>
    <w:rsid w:val="17651DD1"/>
    <w:rsid w:val="19AC776C"/>
    <w:rsid w:val="19FE0DCB"/>
    <w:rsid w:val="1C661C8D"/>
    <w:rsid w:val="1C6B03A4"/>
    <w:rsid w:val="1CA9016E"/>
    <w:rsid w:val="1D1C43BA"/>
    <w:rsid w:val="1DBF0A7F"/>
    <w:rsid w:val="1DF40DDB"/>
    <w:rsid w:val="1F0C3504"/>
    <w:rsid w:val="1F3719AE"/>
    <w:rsid w:val="1FAF5241"/>
    <w:rsid w:val="209E3D18"/>
    <w:rsid w:val="218407CF"/>
    <w:rsid w:val="21E15ABE"/>
    <w:rsid w:val="22C01174"/>
    <w:rsid w:val="2332642D"/>
    <w:rsid w:val="244D7949"/>
    <w:rsid w:val="249C0229"/>
    <w:rsid w:val="258238E3"/>
    <w:rsid w:val="267C3F38"/>
    <w:rsid w:val="273A54B1"/>
    <w:rsid w:val="276F17C3"/>
    <w:rsid w:val="278B4387"/>
    <w:rsid w:val="2803202C"/>
    <w:rsid w:val="28B96268"/>
    <w:rsid w:val="28BB5E50"/>
    <w:rsid w:val="2A690CFE"/>
    <w:rsid w:val="2B626718"/>
    <w:rsid w:val="2B742E62"/>
    <w:rsid w:val="2B801612"/>
    <w:rsid w:val="2BB1398B"/>
    <w:rsid w:val="2BCC1197"/>
    <w:rsid w:val="2C412F87"/>
    <w:rsid w:val="2E1A659B"/>
    <w:rsid w:val="2F300C4F"/>
    <w:rsid w:val="2F44526B"/>
    <w:rsid w:val="2F7A543F"/>
    <w:rsid w:val="2FC12411"/>
    <w:rsid w:val="300950A9"/>
    <w:rsid w:val="305B477B"/>
    <w:rsid w:val="31C425C6"/>
    <w:rsid w:val="324604F9"/>
    <w:rsid w:val="339E379E"/>
    <w:rsid w:val="34052258"/>
    <w:rsid w:val="34740D50"/>
    <w:rsid w:val="355638EF"/>
    <w:rsid w:val="3615229B"/>
    <w:rsid w:val="3652572B"/>
    <w:rsid w:val="36830EAB"/>
    <w:rsid w:val="37372634"/>
    <w:rsid w:val="38175C55"/>
    <w:rsid w:val="384D3F7B"/>
    <w:rsid w:val="399E49B2"/>
    <w:rsid w:val="39BB655A"/>
    <w:rsid w:val="39C032B9"/>
    <w:rsid w:val="39F55A74"/>
    <w:rsid w:val="39F70969"/>
    <w:rsid w:val="3A6301E3"/>
    <w:rsid w:val="3A7B253C"/>
    <w:rsid w:val="3B945BA8"/>
    <w:rsid w:val="3BE04296"/>
    <w:rsid w:val="3BF43151"/>
    <w:rsid w:val="3C282908"/>
    <w:rsid w:val="3C643EA8"/>
    <w:rsid w:val="3D4D1FEB"/>
    <w:rsid w:val="3E433BCF"/>
    <w:rsid w:val="3F563958"/>
    <w:rsid w:val="3FB97CF0"/>
    <w:rsid w:val="404E6F69"/>
    <w:rsid w:val="418B07AC"/>
    <w:rsid w:val="41BA63DC"/>
    <w:rsid w:val="41E415CA"/>
    <w:rsid w:val="4216328E"/>
    <w:rsid w:val="42821E03"/>
    <w:rsid w:val="436E6B25"/>
    <w:rsid w:val="4426752C"/>
    <w:rsid w:val="4499095B"/>
    <w:rsid w:val="45255D02"/>
    <w:rsid w:val="46CE3171"/>
    <w:rsid w:val="47972D42"/>
    <w:rsid w:val="47C9033D"/>
    <w:rsid w:val="4815405E"/>
    <w:rsid w:val="49314FF7"/>
    <w:rsid w:val="4A8E22EA"/>
    <w:rsid w:val="4BC607A7"/>
    <w:rsid w:val="4C7A69FA"/>
    <w:rsid w:val="4D02644D"/>
    <w:rsid w:val="4E1F5200"/>
    <w:rsid w:val="4E8B16F6"/>
    <w:rsid w:val="4EBF6FDA"/>
    <w:rsid w:val="4F1D30E6"/>
    <w:rsid w:val="4F654D04"/>
    <w:rsid w:val="4F7D127A"/>
    <w:rsid w:val="4FF34AB5"/>
    <w:rsid w:val="50D30CBE"/>
    <w:rsid w:val="512578D6"/>
    <w:rsid w:val="519C5BD9"/>
    <w:rsid w:val="52752B51"/>
    <w:rsid w:val="53DE3514"/>
    <w:rsid w:val="545F5187"/>
    <w:rsid w:val="548F3B9F"/>
    <w:rsid w:val="5498710E"/>
    <w:rsid w:val="55055184"/>
    <w:rsid w:val="558657C6"/>
    <w:rsid w:val="55870F03"/>
    <w:rsid w:val="558F48C0"/>
    <w:rsid w:val="55E927EF"/>
    <w:rsid w:val="56555C57"/>
    <w:rsid w:val="56CB5A4E"/>
    <w:rsid w:val="58B05846"/>
    <w:rsid w:val="59211614"/>
    <w:rsid w:val="593C3923"/>
    <w:rsid w:val="595A11FB"/>
    <w:rsid w:val="5985531A"/>
    <w:rsid w:val="5C0C6651"/>
    <w:rsid w:val="5D8B4293"/>
    <w:rsid w:val="5DE53332"/>
    <w:rsid w:val="5E594EAF"/>
    <w:rsid w:val="5EA71AB0"/>
    <w:rsid w:val="6150788C"/>
    <w:rsid w:val="63235E94"/>
    <w:rsid w:val="63442CD8"/>
    <w:rsid w:val="63A24BA3"/>
    <w:rsid w:val="64F115AE"/>
    <w:rsid w:val="658206AA"/>
    <w:rsid w:val="65A42FB2"/>
    <w:rsid w:val="65D65AEC"/>
    <w:rsid w:val="65F921C6"/>
    <w:rsid w:val="6630299A"/>
    <w:rsid w:val="68183659"/>
    <w:rsid w:val="69127F88"/>
    <w:rsid w:val="696D4932"/>
    <w:rsid w:val="6A8158A5"/>
    <w:rsid w:val="6AE938AD"/>
    <w:rsid w:val="6B9A1F2E"/>
    <w:rsid w:val="6BE057E9"/>
    <w:rsid w:val="6CC55A69"/>
    <w:rsid w:val="6D1227DD"/>
    <w:rsid w:val="6E7E6053"/>
    <w:rsid w:val="6EBB4D1E"/>
    <w:rsid w:val="6FA1644E"/>
    <w:rsid w:val="6FDF7B2E"/>
    <w:rsid w:val="71A21AC0"/>
    <w:rsid w:val="724E52E9"/>
    <w:rsid w:val="72A3100B"/>
    <w:rsid w:val="72FF19ED"/>
    <w:rsid w:val="74A75DF0"/>
    <w:rsid w:val="752B4225"/>
    <w:rsid w:val="756F42A4"/>
    <w:rsid w:val="75FA1D39"/>
    <w:rsid w:val="77273416"/>
    <w:rsid w:val="776D1790"/>
    <w:rsid w:val="78737AA0"/>
    <w:rsid w:val="791B5C93"/>
    <w:rsid w:val="79D63FA2"/>
    <w:rsid w:val="79DC22F7"/>
    <w:rsid w:val="7AA03123"/>
    <w:rsid w:val="7B2231BE"/>
    <w:rsid w:val="7B2B4D4A"/>
    <w:rsid w:val="7C217772"/>
    <w:rsid w:val="7C38742C"/>
    <w:rsid w:val="7C9F1C24"/>
    <w:rsid w:val="7D946A97"/>
    <w:rsid w:val="7E332440"/>
    <w:rsid w:val="7EE9045D"/>
    <w:rsid w:val="7EEE3B00"/>
    <w:rsid w:val="7EF6672C"/>
    <w:rsid w:val="7F167A53"/>
    <w:rsid w:val="7F385C3B"/>
    <w:rsid w:val="7FCE4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semiHidden/>
    <w:qFormat/>
    <w:uiPriority w:val="0"/>
    <w:pPr>
      <w:tabs>
        <w:tab w:val="right" w:leader="dot" w:pos="9241"/>
      </w:tabs>
      <w:ind w:firstLine="100" w:firstLineChars="100"/>
      <w:jc w:val="left"/>
    </w:pPr>
    <w:rPr>
      <w:rFonts w:ascii="宋体"/>
      <w:szCs w:val="21"/>
    </w:rPr>
  </w:style>
  <w:style w:type="paragraph" w:styleId="4">
    <w:name w:val="footer"/>
    <w:basedOn w:val="1"/>
    <w:qFormat/>
    <w:uiPriority w:val="0"/>
    <w:pPr>
      <w:snapToGrid w:val="0"/>
      <w:ind w:right="210" w:rightChars="100"/>
      <w:jc w:val="righ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semiHidden/>
    <w:qFormat/>
    <w:uiPriority w:val="0"/>
    <w:pPr>
      <w:tabs>
        <w:tab w:val="right" w:leader="dot" w:pos="9242"/>
      </w:tabs>
      <w:spacing w:beforeLines="25" w:afterLines="25"/>
      <w:jc w:val="left"/>
    </w:pPr>
    <w:rPr>
      <w:rFonts w:ascii="宋体"/>
      <w:szCs w:val="21"/>
    </w:rPr>
  </w:style>
  <w:style w:type="paragraph" w:styleId="7">
    <w:name w:val="toc 2"/>
    <w:basedOn w:val="1"/>
    <w:next w:val="1"/>
    <w:semiHidden/>
    <w:qFormat/>
    <w:uiPriority w:val="0"/>
    <w:pPr>
      <w:tabs>
        <w:tab w:val="right" w:leader="dot" w:pos="9242"/>
      </w:tabs>
    </w:pPr>
    <w:rPr>
      <w:rFonts w:ascii="宋体"/>
      <w:szCs w:val="21"/>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
    <w:name w:val="其他标准标志"/>
    <w:basedOn w:val="13"/>
    <w:qFormat/>
    <w:uiPriority w:val="0"/>
    <w:pPr>
      <w:framePr w:w="6101" w:vAnchor="page" w:hAnchor="page" w:x="4673" w:y="942"/>
    </w:pPr>
    <w:rPr>
      <w:w w:val="130"/>
    </w:rPr>
  </w:style>
  <w:style w:type="paragraph" w:customStyle="1" w:styleId="1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8">
    <w:name w:val="封面标准英文名称"/>
    <w:basedOn w:val="17"/>
    <w:qFormat/>
    <w:uiPriority w:val="0"/>
    <w:pPr>
      <w:spacing w:before="370" w:line="400" w:lineRule="exact"/>
    </w:pPr>
    <w:rPr>
      <w:rFonts w:ascii="Times New Roman"/>
      <w:sz w:val="28"/>
      <w:szCs w:val="28"/>
    </w:rPr>
  </w:style>
  <w:style w:type="paragraph" w:customStyle="1" w:styleId="19">
    <w:name w:val="封面一致性程度标识"/>
    <w:basedOn w:val="18"/>
    <w:qFormat/>
    <w:uiPriority w:val="0"/>
    <w:pPr>
      <w:spacing w:before="440"/>
    </w:pPr>
    <w:rPr>
      <w:rFonts w:ascii="宋体" w:eastAsia="宋体"/>
    </w:rPr>
  </w:style>
  <w:style w:type="paragraph" w:customStyle="1" w:styleId="20">
    <w:name w:val="封面标准文稿类别"/>
    <w:basedOn w:val="19"/>
    <w:qFormat/>
    <w:uiPriority w:val="0"/>
    <w:pPr>
      <w:spacing w:after="160" w:line="240" w:lineRule="auto"/>
    </w:pPr>
    <w:rPr>
      <w:sz w:val="24"/>
    </w:rPr>
  </w:style>
  <w:style w:type="paragraph" w:customStyle="1" w:styleId="21">
    <w:name w:val="封面标准文稿编辑信息"/>
    <w:basedOn w:val="20"/>
    <w:qFormat/>
    <w:uiPriority w:val="0"/>
    <w:pPr>
      <w:spacing w:before="180" w:line="180" w:lineRule="exact"/>
    </w:pPr>
    <w:rPr>
      <w:sz w:val="21"/>
    </w:rPr>
  </w:style>
  <w:style w:type="paragraph" w:customStyle="1" w:styleId="22">
    <w:name w:val="其他发布日期"/>
    <w:basedOn w:val="23"/>
    <w:qFormat/>
    <w:uiPriority w:val="0"/>
    <w:pPr>
      <w:framePr w:vAnchor="page" w:hAnchor="text" w:x="1419"/>
    </w:pPr>
  </w:style>
  <w:style w:type="paragraph" w:customStyle="1" w:styleId="2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4">
    <w:name w:val="其他实施日期"/>
    <w:basedOn w:val="25"/>
    <w:qFormat/>
    <w:uiPriority w:val="0"/>
  </w:style>
  <w:style w:type="paragraph" w:customStyle="1" w:styleId="25">
    <w:name w:val="实施日期"/>
    <w:basedOn w:val="23"/>
    <w:qFormat/>
    <w:uiPriority w:val="0"/>
    <w:pPr>
      <w:framePr w:vAnchor="page" w:hAnchor="text"/>
      <w:jc w:val="right"/>
    </w:pPr>
  </w:style>
  <w:style w:type="paragraph" w:customStyle="1" w:styleId="26">
    <w:name w:val="其他发布部门"/>
    <w:basedOn w:val="27"/>
    <w:qFormat/>
    <w:uiPriority w:val="0"/>
    <w:pPr>
      <w:framePr w:y="15310"/>
      <w:spacing w:line="0" w:lineRule="atLeast"/>
    </w:pPr>
    <w:rPr>
      <w:rFonts w:ascii="黑体" w:eastAsia="黑体"/>
      <w:b w:val="0"/>
    </w:rPr>
  </w:style>
  <w:style w:type="paragraph" w:customStyle="1" w:styleId="27">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9">
    <w:name w:val="前言、引言标题"/>
    <w:next w:val="2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0">
    <w:name w:val="章标题"/>
    <w:next w:val="28"/>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1">
    <w:name w:val="一级条标题"/>
    <w:next w:val="28"/>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2">
    <w:name w:val="二级条标题"/>
    <w:basedOn w:val="31"/>
    <w:next w:val="28"/>
    <w:qFormat/>
    <w:uiPriority w:val="0"/>
    <w:pPr>
      <w:numPr>
        <w:ilvl w:val="2"/>
        <w:numId w:val="1"/>
      </w:numPr>
      <w:spacing w:before="50" w:after="50"/>
      <w:ind w:left="0" w:firstLine="0"/>
      <w:outlineLvl w:val="3"/>
    </w:pPr>
  </w:style>
  <w:style w:type="paragraph" w:customStyle="1" w:styleId="33">
    <w:name w:val="三级条标题"/>
    <w:basedOn w:val="32"/>
    <w:next w:val="28"/>
    <w:qFormat/>
    <w:uiPriority w:val="0"/>
    <w:pPr>
      <w:numPr>
        <w:ilvl w:val="3"/>
      </w:numPr>
      <w:ind w:left="0"/>
      <w:outlineLvl w:val="4"/>
    </w:pPr>
  </w:style>
  <w:style w:type="paragraph" w:customStyle="1" w:styleId="34">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35">
    <w:name w:val="终结线"/>
    <w:basedOn w:val="1"/>
    <w:qFormat/>
    <w:uiPriority w:val="0"/>
    <w:pPr>
      <w:framePr w:hSpace="181" w:vSpace="181" w:wrap="around" w:vAnchor="text" w:hAnchor="margin" w:xAlign="center" w:y="285"/>
    </w:pPr>
  </w:style>
  <w:style w:type="paragraph" w:customStyle="1" w:styleId="36">
    <w:name w:val="标准书眉_偶数页"/>
    <w:basedOn w:val="37"/>
    <w:next w:val="1"/>
    <w:qFormat/>
    <w:uiPriority w:val="0"/>
    <w:pPr>
      <w:tabs>
        <w:tab w:val="center" w:pos="4154"/>
        <w:tab w:val="right" w:pos="8306"/>
      </w:tabs>
      <w:jc w:val="left"/>
    </w:pPr>
  </w:style>
  <w:style w:type="paragraph" w:customStyle="1" w:styleId="3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3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2021-04-14T00:21:00Z</dcterms:created>
  <dc:creator>XPS15</dc:creator>
  <cp:lastModifiedBy>真由理</cp:lastModifiedBy>
  <dcterms:modified xsi:type="dcterms:W3CDTF">2021-08-23T02:36:44Z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A3BBC7383F7B43E4A7F1D5E7EFBE4FDF</vt:lpwstr>
  </property>
</Properties>
</file>